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63" w:rsidRDefault="00425C5D"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363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6858000" cy="1261745"/>
                    </a:xfrm>
                    <a:prstGeom prst="rect">
                      <a:avLst/>
                    </a:prstGeom>
                    <a:noFill/>
                  </pic:spPr>
                </pic:pic>
              </a:graphicData>
            </a:graphic>
          </wp:anchor>
        </w:drawing>
      </w:r>
      <w:r w:rsidR="000A79A0" w:rsidRPr="000A79A0">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45pt;width:312.1pt;height:44.8pt;z-index:251654656;mso-wrap-distance-left:9.05pt;mso-wrap-distance-right:9.05pt;mso-position-horizontal-relative:text;mso-position-vertical-relative:text" stroked="f">
            <v:fill opacity="0" color2="black"/>
            <v:textbox style="mso-next-textbox:#_x0000_s1027" inset="0,0,0,0">
              <w:txbxContent>
                <w:p w:rsidR="00E13763" w:rsidRPr="00342E6B" w:rsidRDefault="00E13763" w:rsidP="00024559">
                  <w:pPr>
                    <w:pStyle w:val="Balk1"/>
                    <w:rPr>
                      <w:rFonts w:ascii="Times New Roman" w:hAnsi="Times New Roman" w:cs="Times New Roman"/>
                      <w:sz w:val="40"/>
                      <w:szCs w:val="40"/>
                    </w:rPr>
                  </w:pPr>
                  <w:r>
                    <w:rPr>
                      <w:rFonts w:ascii="Times New Roman" w:hAnsi="Times New Roman" w:cs="Times New Roman"/>
                      <w:sz w:val="40"/>
                      <w:szCs w:val="40"/>
                    </w:rPr>
                    <w:t>Ekonomik Görünüm ve Tahminler: Mart 2013</w:t>
                  </w:r>
                </w:p>
                <w:p w:rsidR="00E13763" w:rsidRPr="00A75A46" w:rsidRDefault="00E13763" w:rsidP="00024559">
                  <w:pPr>
                    <w:pStyle w:val="Balk2"/>
                    <w:rPr>
                      <w:b w:val="0"/>
                      <w:bCs w:val="0"/>
                      <w:i w:val="0"/>
                      <w:iCs w:val="0"/>
                      <w:lang w:val="nl-NL"/>
                    </w:rPr>
                  </w:pPr>
                </w:p>
              </w:txbxContent>
            </v:textbox>
          </v:shape>
        </w:pict>
      </w:r>
    </w:p>
    <w:p w:rsidR="00E13763" w:rsidRDefault="000A79A0" w:rsidP="001E4BF5">
      <w:pPr>
        <w:spacing w:line="360" w:lineRule="auto"/>
        <w:ind w:right="-319"/>
        <w:jc w:val="center"/>
        <w:outlineLvl w:val="0"/>
        <w:rPr>
          <w:rFonts w:ascii="Arial" w:hAnsi="Arial" w:cs="Arial"/>
          <w:b/>
          <w:bCs/>
          <w:sz w:val="32"/>
          <w:szCs w:val="32"/>
        </w:rPr>
      </w:pPr>
      <w:r w:rsidRPr="000A79A0">
        <w:rPr>
          <w:noProof/>
        </w:rPr>
        <w:lastRenderedPageBreak/>
        <w:pict>
          <v:shape id="_x0000_s1028" type="#_x0000_t202" style="position:absolute;left:0;text-align:left;margin-left:158.3pt;margin-top:18pt;width:90.45pt;height:27.45pt;z-index:251655680;mso-wrap-distance-left:9.05pt;mso-wrap-distance-right:9.05pt" stroked="f">
            <v:fill opacity="0" color2="black"/>
            <v:textbox style="mso-next-textbox:#_x0000_s1028" inset="0,0,0,0">
              <w:txbxContent>
                <w:p w:rsidR="00E13763" w:rsidRPr="0015586B" w:rsidRDefault="00E13763" w:rsidP="00024559">
                  <w:pPr>
                    <w:pStyle w:val="Balk3"/>
                    <w:rPr>
                      <w:color w:val="FFFFFF"/>
                      <w:sz w:val="22"/>
                      <w:szCs w:val="22"/>
                      <w:lang w:val="tr-TR"/>
                    </w:rPr>
                  </w:pPr>
                  <w:r>
                    <w:rPr>
                      <w:color w:val="FFFFFF"/>
                      <w:sz w:val="22"/>
                      <w:szCs w:val="22"/>
                      <w:lang w:val="tr-TR"/>
                    </w:rPr>
                    <w:t xml:space="preserve">       19.02.2013</w:t>
                  </w:r>
                </w:p>
                <w:p w:rsidR="00E13763" w:rsidRDefault="00E13763" w:rsidP="00024559"/>
              </w:txbxContent>
            </v:textbox>
          </v:shape>
        </w:pict>
      </w:r>
    </w:p>
    <w:p w:rsidR="00E13763" w:rsidRDefault="00E13763" w:rsidP="001E4BF5">
      <w:pPr>
        <w:spacing w:line="360" w:lineRule="auto"/>
        <w:ind w:right="-319"/>
        <w:jc w:val="center"/>
        <w:outlineLvl w:val="0"/>
        <w:rPr>
          <w:rFonts w:ascii="Arial" w:hAnsi="Arial" w:cs="Arial"/>
          <w:b/>
          <w:bCs/>
          <w:sz w:val="32"/>
          <w:szCs w:val="32"/>
        </w:rPr>
        <w:sectPr w:rsidR="00E13763" w:rsidSect="00357ECC">
          <w:footerReference w:type="default" r:id="rId8"/>
          <w:pgSz w:w="11906" w:h="16838"/>
          <w:pgMar w:top="1417" w:right="1417" w:bottom="1417" w:left="1417" w:header="708" w:footer="708" w:gutter="0"/>
          <w:cols w:num="2" w:space="708" w:equalWidth="0">
            <w:col w:w="4182" w:space="708"/>
            <w:col w:w="4182"/>
          </w:cols>
          <w:docGrid w:linePitch="360"/>
        </w:sectPr>
      </w:pPr>
    </w:p>
    <w:p w:rsidR="00E13763" w:rsidRDefault="00E13763" w:rsidP="001E4BF5">
      <w:pPr>
        <w:spacing w:line="360" w:lineRule="auto"/>
        <w:ind w:right="-319"/>
        <w:outlineLvl w:val="0"/>
        <w:rPr>
          <w:rFonts w:ascii="Arial" w:hAnsi="Arial" w:cs="Arial"/>
          <w:b/>
          <w:bCs/>
          <w:sz w:val="32"/>
          <w:szCs w:val="32"/>
        </w:rPr>
      </w:pPr>
    </w:p>
    <w:p w:rsidR="00E13763" w:rsidRPr="00D63675" w:rsidRDefault="00E13763" w:rsidP="00F83188">
      <w:pPr>
        <w:ind w:right="-317"/>
        <w:jc w:val="center"/>
        <w:outlineLvl w:val="0"/>
        <w:rPr>
          <w:rFonts w:ascii="Arial" w:hAnsi="Arial" w:cs="Arial"/>
          <w:b/>
          <w:bCs/>
          <w:caps/>
          <w:sz w:val="28"/>
          <w:szCs w:val="28"/>
        </w:rPr>
      </w:pPr>
      <w:r>
        <w:rPr>
          <w:rFonts w:ascii="Arial" w:hAnsi="Arial" w:cs="Arial"/>
          <w:b/>
          <w:bCs/>
          <w:caps/>
          <w:sz w:val="28"/>
          <w:szCs w:val="28"/>
        </w:rPr>
        <w:t>Zayıf canlanma</w:t>
      </w:r>
    </w:p>
    <w:p w:rsidR="00E13763" w:rsidRPr="00E702BA" w:rsidRDefault="00E13763" w:rsidP="00522063">
      <w:pPr>
        <w:ind w:right="-317"/>
        <w:jc w:val="center"/>
        <w:outlineLvl w:val="0"/>
        <w:rPr>
          <w:rFonts w:ascii="Arial" w:hAnsi="Arial" w:cs="Arial"/>
          <w:b/>
          <w:bCs/>
          <w:caps/>
        </w:rPr>
      </w:pPr>
    </w:p>
    <w:p w:rsidR="00E13763" w:rsidRPr="00D63675" w:rsidRDefault="00E13763"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Pr="00D63675">
        <w:rPr>
          <w:rFonts w:ascii="Arial" w:hAnsi="Arial" w:cs="Arial"/>
          <w:b/>
          <w:bCs/>
          <w:sz w:val="21"/>
          <w:szCs w:val="21"/>
          <w:vertAlign w:val="superscript"/>
        </w:rPr>
        <w:t>†</w:t>
      </w:r>
    </w:p>
    <w:p w:rsidR="00E13763" w:rsidRDefault="00E13763" w:rsidP="00D837A8">
      <w:pPr>
        <w:spacing w:line="360" w:lineRule="auto"/>
        <w:ind w:right="-319"/>
        <w:jc w:val="center"/>
        <w:outlineLvl w:val="0"/>
        <w:rPr>
          <w:rFonts w:ascii="Arial" w:hAnsi="Arial" w:cs="Arial"/>
          <w:sz w:val="22"/>
          <w:szCs w:val="22"/>
          <w:vertAlign w:val="superscript"/>
        </w:rPr>
      </w:pPr>
    </w:p>
    <w:p w:rsidR="00E13763" w:rsidRPr="004A7FE6" w:rsidRDefault="00E13763" w:rsidP="00D837A8">
      <w:pPr>
        <w:spacing w:line="360" w:lineRule="auto"/>
        <w:ind w:right="-319"/>
        <w:jc w:val="center"/>
        <w:outlineLvl w:val="0"/>
        <w:rPr>
          <w:rFonts w:ascii="Arial" w:hAnsi="Arial" w:cs="Arial"/>
          <w:sz w:val="22"/>
          <w:szCs w:val="22"/>
          <w:vertAlign w:val="superscript"/>
        </w:rPr>
        <w:sectPr w:rsidR="00E13763" w:rsidRPr="004A7FE6" w:rsidSect="008651A8">
          <w:type w:val="continuous"/>
          <w:pgSz w:w="11906" w:h="16838"/>
          <w:pgMar w:top="1417" w:right="1417" w:bottom="1417" w:left="1417" w:header="708" w:footer="708" w:gutter="0"/>
          <w:cols w:space="708"/>
          <w:docGrid w:linePitch="360"/>
        </w:sectPr>
      </w:pPr>
    </w:p>
    <w:p w:rsidR="00E13763" w:rsidRDefault="00E13763" w:rsidP="007D3E0C">
      <w:pPr>
        <w:spacing w:line="360" w:lineRule="auto"/>
        <w:ind w:left="-360" w:right="42" w:firstLine="360"/>
        <w:jc w:val="center"/>
        <w:rPr>
          <w:b/>
          <w:bCs/>
          <w:sz w:val="22"/>
          <w:szCs w:val="22"/>
        </w:rPr>
      </w:pPr>
      <w:r w:rsidRPr="004A7FE6">
        <w:rPr>
          <w:b/>
          <w:bCs/>
          <w:sz w:val="22"/>
          <w:szCs w:val="22"/>
        </w:rPr>
        <w:lastRenderedPageBreak/>
        <w:t>Yönetici Özeti</w:t>
      </w:r>
    </w:p>
    <w:p w:rsidR="00E13763" w:rsidRPr="00D97A66" w:rsidRDefault="00E13763" w:rsidP="007D3E0C">
      <w:pPr>
        <w:spacing w:line="360" w:lineRule="auto"/>
        <w:ind w:left="-360" w:right="42" w:firstLine="360"/>
        <w:jc w:val="center"/>
        <w:rPr>
          <w:b/>
          <w:bCs/>
          <w:sz w:val="14"/>
          <w:szCs w:val="14"/>
        </w:rPr>
      </w:pPr>
    </w:p>
    <w:p w:rsidR="00E13763" w:rsidRDefault="00E13763" w:rsidP="00F83188">
      <w:pPr>
        <w:spacing w:line="360" w:lineRule="auto"/>
        <w:ind w:left="-360" w:right="40"/>
        <w:jc w:val="both"/>
        <w:rPr>
          <w:sz w:val="22"/>
          <w:szCs w:val="22"/>
        </w:rPr>
      </w:pPr>
      <w:r>
        <w:rPr>
          <w:sz w:val="22"/>
          <w:szCs w:val="22"/>
        </w:rPr>
        <w:t>Mevsim ve takvim etkisinden arındırılmış Sanayi Üretim Endeksi (SÜE) Ocak ayında bir önceki aya göre yüzde 2,3</w:t>
      </w:r>
      <w:r w:rsidR="00B16F1E">
        <w:rPr>
          <w:sz w:val="22"/>
          <w:szCs w:val="22"/>
        </w:rPr>
        <w:t xml:space="preserve"> arttı. İhracat miktar endeksi </w:t>
      </w:r>
      <w:r>
        <w:rPr>
          <w:sz w:val="22"/>
          <w:szCs w:val="22"/>
        </w:rPr>
        <w:t xml:space="preserve">yüzde 0,4 azalırken ithalat miktar endeksi yüzde 5,7 oranında arttı. SÜE’de Ocak ayındaki artış 4. çeyreğe kıyasla büyük bir canlanmaya işaret etmezken, dış ticaretin büyümeye katkısı da şimdilik negatif görünüyor. Tüketim ve yatırımdaysa canlanmaya dair küçük işaretler var. Betam’ın 2013 birinci çeyrek için ilk büyüme tahmini çeyrekten çeyreğe yüzde 0,5. Bu tahmine göre bir önceki yılın aynı dönemine göre 1. çeyrek büyüme oranını yüzde 3,0 olarak hesaplıyoruz. 2012 yılı için büyüme tahminimizi ise yüzde hala yüzde 2,6. </w:t>
      </w:r>
    </w:p>
    <w:p w:rsidR="00E13763" w:rsidRDefault="00E13763" w:rsidP="00F83188">
      <w:pPr>
        <w:spacing w:line="360" w:lineRule="auto"/>
        <w:ind w:left="-360" w:right="40"/>
        <w:jc w:val="both"/>
        <w:rPr>
          <w:sz w:val="22"/>
          <w:szCs w:val="22"/>
        </w:rPr>
      </w:pPr>
    </w:p>
    <w:p w:rsidR="00E13763" w:rsidRDefault="00E13763" w:rsidP="00F83188">
      <w:pPr>
        <w:spacing w:line="360" w:lineRule="auto"/>
        <w:ind w:left="-360" w:right="40"/>
        <w:jc w:val="both"/>
        <w:rPr>
          <w:sz w:val="22"/>
          <w:szCs w:val="22"/>
        </w:rPr>
      </w:pPr>
      <w:r>
        <w:rPr>
          <w:sz w:val="22"/>
          <w:szCs w:val="22"/>
        </w:rPr>
        <w:t xml:space="preserve">Ocak ayında dış ticaret açığı geçen senin aynı ayı ile hemen hemen aynı seviyedeydi. Cari açıkta da çok fazla bir değişiklik olmadı. 2012 sonunda revizyonlar sonrası 46,9 olan 12 aylık cari açık toplamı Ocak ayında 46,8 milyar dolar oldu. Betam 2012 yılı sonunda cari açığın yüzde 5,9 olduğunu, birinci çeyrek sonunda ise yüzde 5,8 olacağını tahmin ediyor. </w:t>
      </w:r>
    </w:p>
    <w:p w:rsidR="00E13763" w:rsidRDefault="00E13763" w:rsidP="00F83188">
      <w:pPr>
        <w:spacing w:line="360" w:lineRule="auto"/>
        <w:ind w:left="-360" w:right="40"/>
        <w:jc w:val="both"/>
        <w:rPr>
          <w:sz w:val="22"/>
          <w:szCs w:val="22"/>
        </w:rPr>
      </w:pPr>
    </w:p>
    <w:p w:rsidR="00E13763" w:rsidRDefault="00E13763" w:rsidP="007D3E0C">
      <w:pPr>
        <w:spacing w:line="360" w:lineRule="auto"/>
        <w:ind w:left="-360" w:right="40"/>
        <w:jc w:val="both"/>
        <w:rPr>
          <w:sz w:val="22"/>
          <w:szCs w:val="22"/>
        </w:rPr>
      </w:pPr>
    </w:p>
    <w:p w:rsidR="00E13763" w:rsidRDefault="000A79A0" w:rsidP="007D3E0C">
      <w:pPr>
        <w:spacing w:line="288" w:lineRule="auto"/>
        <w:ind w:right="-318"/>
        <w:jc w:val="both"/>
        <w:rPr>
          <w:rFonts w:ascii="Arial" w:hAnsi="Arial" w:cs="Arial"/>
          <w:sz w:val="16"/>
          <w:szCs w:val="16"/>
        </w:rPr>
      </w:pPr>
      <w:r w:rsidRPr="000A79A0">
        <w:rPr>
          <w:noProof/>
        </w:rPr>
        <w:pict>
          <v:line id="_x0000_s1029" style="position:absolute;left:0;text-align:left;z-index:251660800" from="-17.25pt,5.35pt" to="180.75pt,5.4pt"/>
        </w:pict>
      </w:r>
      <w:r>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wrap type="none"/>
            <w10:anchorlock/>
          </v:group>
        </w:pict>
      </w:r>
    </w:p>
    <w:p w:rsidR="00E13763" w:rsidRPr="00C2696C" w:rsidRDefault="00E13763" w:rsidP="007D3E0C">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E13763" w:rsidRDefault="00E13763" w:rsidP="007D3E0C">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9" w:history="1">
        <w:r w:rsidRPr="005E1D9A">
          <w:rPr>
            <w:rStyle w:val="Kpr"/>
            <w:rFonts w:ascii="Arial" w:hAnsi="Arial" w:cs="Arial"/>
            <w:sz w:val="16"/>
            <w:szCs w:val="16"/>
          </w:rPr>
          <w:t>zumrut.imamoglu@bahcesehir.edu.tr</w:t>
        </w:r>
      </w:hyperlink>
    </w:p>
    <w:p w:rsidR="00E13763" w:rsidRPr="00C2696C" w:rsidRDefault="00E13763" w:rsidP="007D3E0C">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E13763" w:rsidRDefault="00E13763" w:rsidP="007D3E0C">
      <w:pPr>
        <w:ind w:left="-360"/>
        <w:rPr>
          <w:rFonts w:ascii="Arial" w:hAnsi="Arial" w:cs="Arial"/>
          <w:sz w:val="16"/>
          <w:szCs w:val="16"/>
        </w:rPr>
      </w:pPr>
      <w:r w:rsidRPr="00970E4E">
        <w:rPr>
          <w:sz w:val="16"/>
          <w:szCs w:val="16"/>
        </w:rPr>
        <w:t xml:space="preserve">  </w:t>
      </w:r>
      <w:hyperlink r:id="rId10" w:history="1">
        <w:r w:rsidRPr="005E1D9A">
          <w:rPr>
            <w:rStyle w:val="Kpr"/>
            <w:rFonts w:ascii="Arial" w:hAnsi="Arial" w:cs="Arial"/>
            <w:sz w:val="16"/>
            <w:szCs w:val="16"/>
          </w:rPr>
          <w:t>baris.soybilgen@bahcesehir.edu.tr</w:t>
        </w:r>
      </w:hyperlink>
    </w:p>
    <w:p w:rsidR="00E13763" w:rsidRDefault="00E13763" w:rsidP="007D3E0C">
      <w:pPr>
        <w:ind w:right="42"/>
        <w:rPr>
          <w:b/>
          <w:bCs/>
          <w:sz w:val="22"/>
          <w:szCs w:val="22"/>
        </w:rPr>
      </w:pPr>
    </w:p>
    <w:p w:rsidR="00E13763" w:rsidRDefault="00E13763" w:rsidP="007D3E0C">
      <w:pPr>
        <w:ind w:right="42"/>
        <w:rPr>
          <w:b/>
          <w:bCs/>
          <w:sz w:val="22"/>
          <w:szCs w:val="22"/>
        </w:rPr>
      </w:pPr>
    </w:p>
    <w:p w:rsidR="00E13763" w:rsidRPr="004A7FE6" w:rsidRDefault="00E13763" w:rsidP="00F83188">
      <w:pPr>
        <w:ind w:right="42"/>
        <w:rPr>
          <w:b/>
          <w:bCs/>
          <w:sz w:val="22"/>
          <w:szCs w:val="22"/>
        </w:rPr>
      </w:pPr>
      <w:r>
        <w:rPr>
          <w:b/>
          <w:bCs/>
          <w:sz w:val="22"/>
          <w:szCs w:val="22"/>
        </w:rPr>
        <w:t xml:space="preserve">Tablo1. </w:t>
      </w:r>
      <w:r w:rsidRPr="008C6E50">
        <w:rPr>
          <w:b/>
          <w:bCs/>
          <w:sz w:val="22"/>
          <w:szCs w:val="22"/>
        </w:rPr>
        <w:t>B</w:t>
      </w:r>
      <w:r>
        <w:rPr>
          <w:b/>
          <w:bCs/>
          <w:sz w:val="22"/>
          <w:szCs w:val="22"/>
        </w:rPr>
        <w:t>etam</w:t>
      </w:r>
      <w:r w:rsidRPr="008C6E50">
        <w:rPr>
          <w:b/>
          <w:bCs/>
          <w:sz w:val="22"/>
          <w:szCs w:val="22"/>
        </w:rPr>
        <w:t>’ın GSYH ve Cari Açık Tahminleri</w:t>
      </w:r>
      <w:r>
        <w:rPr>
          <w:b/>
          <w:bCs/>
          <w:sz w:val="22"/>
          <w:szCs w:val="22"/>
        </w:rPr>
        <w:t xml:space="preserve"> </w:t>
      </w:r>
    </w:p>
    <w:tbl>
      <w:tblPr>
        <w:tblpPr w:leftFromText="141" w:rightFromText="141" w:vertAnchor="text" w:horzAnchor="margin" w:tblpXSpec="right" w:tblpY="129"/>
        <w:tblW w:w="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18"/>
        <w:gridCol w:w="1086"/>
      </w:tblGrid>
      <w:tr w:rsidR="00E13763" w:rsidRPr="003118F7">
        <w:trPr>
          <w:trHeight w:val="986"/>
        </w:trPr>
        <w:tc>
          <w:tcPr>
            <w:tcW w:w="2520" w:type="dxa"/>
            <w:tcMar>
              <w:left w:w="28" w:type="dxa"/>
              <w:right w:w="28" w:type="dxa"/>
            </w:tcMar>
            <w:vAlign w:val="center"/>
          </w:tcPr>
          <w:p w:rsidR="00E13763" w:rsidRPr="003118F7" w:rsidRDefault="00E13763" w:rsidP="0088522E">
            <w:pPr>
              <w:ind w:right="42"/>
              <w:jc w:val="center"/>
              <w:rPr>
                <w:sz w:val="20"/>
                <w:szCs w:val="20"/>
              </w:rPr>
            </w:pPr>
          </w:p>
        </w:tc>
        <w:tc>
          <w:tcPr>
            <w:tcW w:w="1018" w:type="dxa"/>
            <w:tcMar>
              <w:left w:w="0" w:type="dxa"/>
              <w:right w:w="0" w:type="dxa"/>
            </w:tcMar>
            <w:vAlign w:val="center"/>
          </w:tcPr>
          <w:p w:rsidR="00E13763" w:rsidRPr="003118F7" w:rsidRDefault="00E13763" w:rsidP="0088522E">
            <w:pPr>
              <w:ind w:right="40"/>
              <w:rPr>
                <w:b/>
                <w:bCs/>
                <w:sz w:val="20"/>
                <w:szCs w:val="20"/>
              </w:rPr>
            </w:pPr>
            <w:r>
              <w:rPr>
                <w:b/>
                <w:bCs/>
                <w:sz w:val="20"/>
                <w:szCs w:val="20"/>
              </w:rPr>
              <w:t xml:space="preserve">       2012</w:t>
            </w:r>
          </w:p>
          <w:p w:rsidR="00E13763" w:rsidRPr="003118F7" w:rsidRDefault="00E13763" w:rsidP="0088522E">
            <w:pPr>
              <w:ind w:right="40"/>
              <w:jc w:val="center"/>
              <w:rPr>
                <w:b/>
                <w:bCs/>
                <w:sz w:val="20"/>
                <w:szCs w:val="20"/>
              </w:rPr>
            </w:pPr>
            <w:r w:rsidRPr="003118F7">
              <w:rPr>
                <w:b/>
                <w:bCs/>
                <w:sz w:val="20"/>
                <w:szCs w:val="20"/>
              </w:rPr>
              <w:t>4. Çeyrek</w:t>
            </w:r>
          </w:p>
          <w:p w:rsidR="00E13763" w:rsidRPr="003118F7" w:rsidRDefault="00E13763" w:rsidP="0088522E">
            <w:pPr>
              <w:ind w:right="40"/>
              <w:jc w:val="center"/>
              <w:rPr>
                <w:b/>
                <w:bCs/>
                <w:sz w:val="20"/>
                <w:szCs w:val="20"/>
              </w:rPr>
            </w:pPr>
            <w:r w:rsidRPr="003118F7">
              <w:rPr>
                <w:b/>
                <w:bCs/>
                <w:sz w:val="20"/>
                <w:szCs w:val="20"/>
              </w:rPr>
              <w:t>Tahmin</w:t>
            </w:r>
          </w:p>
        </w:tc>
        <w:tc>
          <w:tcPr>
            <w:tcW w:w="1086" w:type="dxa"/>
            <w:vAlign w:val="center"/>
          </w:tcPr>
          <w:p w:rsidR="00E13763" w:rsidRPr="003118F7" w:rsidRDefault="00E13763" w:rsidP="0088522E">
            <w:pPr>
              <w:ind w:right="40"/>
              <w:jc w:val="center"/>
              <w:rPr>
                <w:b/>
                <w:bCs/>
                <w:sz w:val="20"/>
                <w:szCs w:val="20"/>
              </w:rPr>
            </w:pPr>
            <w:r>
              <w:rPr>
                <w:b/>
                <w:bCs/>
                <w:sz w:val="20"/>
                <w:szCs w:val="20"/>
              </w:rPr>
              <w:t>2013</w:t>
            </w:r>
          </w:p>
          <w:p w:rsidR="00E13763" w:rsidRPr="003118F7" w:rsidRDefault="00E13763" w:rsidP="0088522E">
            <w:pPr>
              <w:ind w:right="40"/>
              <w:jc w:val="center"/>
              <w:rPr>
                <w:b/>
                <w:bCs/>
                <w:sz w:val="20"/>
                <w:szCs w:val="20"/>
              </w:rPr>
            </w:pPr>
            <w:r>
              <w:rPr>
                <w:b/>
                <w:bCs/>
                <w:sz w:val="20"/>
                <w:szCs w:val="20"/>
              </w:rPr>
              <w:t>1</w:t>
            </w:r>
            <w:r w:rsidRPr="003118F7">
              <w:rPr>
                <w:b/>
                <w:bCs/>
                <w:sz w:val="20"/>
                <w:szCs w:val="20"/>
              </w:rPr>
              <w:t>. Çeyrek</w:t>
            </w:r>
          </w:p>
          <w:p w:rsidR="00E13763" w:rsidRPr="003118F7" w:rsidRDefault="00E13763" w:rsidP="0088522E">
            <w:pPr>
              <w:ind w:right="40"/>
              <w:jc w:val="center"/>
              <w:rPr>
                <w:b/>
                <w:bCs/>
                <w:sz w:val="20"/>
                <w:szCs w:val="20"/>
              </w:rPr>
            </w:pPr>
            <w:r w:rsidRPr="003118F7">
              <w:rPr>
                <w:b/>
                <w:bCs/>
                <w:sz w:val="20"/>
                <w:szCs w:val="20"/>
              </w:rPr>
              <w:t>Tahmin</w:t>
            </w:r>
          </w:p>
        </w:tc>
      </w:tr>
      <w:tr w:rsidR="00E13763" w:rsidRPr="003118F7">
        <w:trPr>
          <w:trHeight w:val="771"/>
        </w:trPr>
        <w:tc>
          <w:tcPr>
            <w:tcW w:w="2520" w:type="dxa"/>
            <w:tcMar>
              <w:left w:w="28" w:type="dxa"/>
              <w:right w:w="28" w:type="dxa"/>
            </w:tcMar>
            <w:vAlign w:val="center"/>
          </w:tcPr>
          <w:p w:rsidR="00E13763" w:rsidRPr="003118F7" w:rsidRDefault="00E13763" w:rsidP="0088522E">
            <w:pPr>
              <w:ind w:right="42"/>
              <w:rPr>
                <w:sz w:val="20"/>
                <w:szCs w:val="20"/>
              </w:rPr>
            </w:pPr>
            <w:r w:rsidRPr="003118F7">
              <w:rPr>
                <w:sz w:val="20"/>
                <w:szCs w:val="20"/>
              </w:rPr>
              <w:t>GSYH büyüme, reel</w:t>
            </w:r>
          </w:p>
          <w:p w:rsidR="00E13763" w:rsidRPr="003118F7" w:rsidRDefault="00E13763" w:rsidP="0088522E">
            <w:pPr>
              <w:ind w:right="42"/>
              <w:rPr>
                <w:sz w:val="20"/>
                <w:szCs w:val="20"/>
              </w:rPr>
            </w:pPr>
            <w:r w:rsidRPr="003118F7">
              <w:rPr>
                <w:sz w:val="20"/>
                <w:szCs w:val="20"/>
              </w:rPr>
              <w:t>(bir önceki çeyreğe göre, mea*)</w:t>
            </w:r>
          </w:p>
        </w:tc>
        <w:tc>
          <w:tcPr>
            <w:tcW w:w="1018" w:type="dxa"/>
            <w:vAlign w:val="center"/>
          </w:tcPr>
          <w:p w:rsidR="00E13763" w:rsidRPr="003118F7" w:rsidRDefault="00E13763" w:rsidP="0088522E">
            <w:pPr>
              <w:ind w:right="42"/>
              <w:jc w:val="center"/>
              <w:rPr>
                <w:sz w:val="20"/>
                <w:szCs w:val="20"/>
              </w:rPr>
            </w:pPr>
            <w:r>
              <w:rPr>
                <w:sz w:val="20"/>
                <w:szCs w:val="20"/>
              </w:rPr>
              <w:t>0,6</w:t>
            </w:r>
          </w:p>
        </w:tc>
        <w:tc>
          <w:tcPr>
            <w:tcW w:w="1086" w:type="dxa"/>
            <w:vAlign w:val="center"/>
          </w:tcPr>
          <w:p w:rsidR="00E13763" w:rsidRPr="003118F7" w:rsidRDefault="00E13763" w:rsidP="0088522E">
            <w:pPr>
              <w:ind w:right="42"/>
              <w:jc w:val="center"/>
              <w:rPr>
                <w:sz w:val="20"/>
                <w:szCs w:val="20"/>
              </w:rPr>
            </w:pPr>
            <w:r>
              <w:rPr>
                <w:sz w:val="20"/>
                <w:szCs w:val="20"/>
              </w:rPr>
              <w:t>0,5</w:t>
            </w:r>
          </w:p>
        </w:tc>
      </w:tr>
      <w:tr w:rsidR="00E13763" w:rsidRPr="003118F7">
        <w:trPr>
          <w:trHeight w:val="756"/>
        </w:trPr>
        <w:tc>
          <w:tcPr>
            <w:tcW w:w="2520" w:type="dxa"/>
            <w:tcMar>
              <w:left w:w="28" w:type="dxa"/>
              <w:right w:w="28" w:type="dxa"/>
            </w:tcMar>
            <w:vAlign w:val="center"/>
          </w:tcPr>
          <w:p w:rsidR="00E13763" w:rsidRPr="003118F7" w:rsidRDefault="00E13763" w:rsidP="0088522E">
            <w:pPr>
              <w:ind w:right="42"/>
              <w:rPr>
                <w:sz w:val="20"/>
                <w:szCs w:val="20"/>
              </w:rPr>
            </w:pPr>
            <w:r w:rsidRPr="003118F7">
              <w:rPr>
                <w:sz w:val="20"/>
                <w:szCs w:val="20"/>
              </w:rPr>
              <w:t>GSYH büyüme, reel (geçen yılın aynı çeyreğine göre, tea**)</w:t>
            </w:r>
          </w:p>
        </w:tc>
        <w:tc>
          <w:tcPr>
            <w:tcW w:w="1018" w:type="dxa"/>
            <w:vAlign w:val="center"/>
          </w:tcPr>
          <w:p w:rsidR="00E13763" w:rsidRPr="003118F7" w:rsidRDefault="00E13763" w:rsidP="0088522E">
            <w:pPr>
              <w:ind w:right="42"/>
              <w:jc w:val="center"/>
              <w:rPr>
                <w:sz w:val="20"/>
                <w:szCs w:val="20"/>
              </w:rPr>
            </w:pPr>
            <w:r>
              <w:rPr>
                <w:sz w:val="20"/>
                <w:szCs w:val="20"/>
              </w:rPr>
              <w:t>2,4</w:t>
            </w:r>
          </w:p>
        </w:tc>
        <w:tc>
          <w:tcPr>
            <w:tcW w:w="1086" w:type="dxa"/>
            <w:vAlign w:val="center"/>
          </w:tcPr>
          <w:p w:rsidR="00E13763" w:rsidRPr="003118F7" w:rsidRDefault="00E13763" w:rsidP="0088522E">
            <w:pPr>
              <w:ind w:right="42"/>
              <w:jc w:val="center"/>
              <w:rPr>
                <w:sz w:val="20"/>
                <w:szCs w:val="20"/>
              </w:rPr>
            </w:pPr>
            <w:r>
              <w:rPr>
                <w:sz w:val="20"/>
                <w:szCs w:val="20"/>
              </w:rPr>
              <w:t>3,0</w:t>
            </w:r>
          </w:p>
        </w:tc>
      </w:tr>
      <w:tr w:rsidR="00E13763" w:rsidRPr="003118F7">
        <w:trPr>
          <w:trHeight w:val="583"/>
        </w:trPr>
        <w:tc>
          <w:tcPr>
            <w:tcW w:w="2520" w:type="dxa"/>
            <w:tcMar>
              <w:left w:w="28" w:type="dxa"/>
              <w:right w:w="28" w:type="dxa"/>
            </w:tcMar>
            <w:vAlign w:val="center"/>
          </w:tcPr>
          <w:p w:rsidR="00E13763" w:rsidRPr="003118F7" w:rsidRDefault="00E13763" w:rsidP="0088522E">
            <w:pPr>
              <w:ind w:right="40"/>
              <w:rPr>
                <w:sz w:val="20"/>
                <w:szCs w:val="20"/>
              </w:rPr>
            </w:pPr>
            <w:r w:rsidRPr="003118F7">
              <w:rPr>
                <w:sz w:val="20"/>
                <w:szCs w:val="20"/>
              </w:rPr>
              <w:t>Cari Açık (yıllık)</w:t>
            </w:r>
          </w:p>
        </w:tc>
        <w:tc>
          <w:tcPr>
            <w:tcW w:w="1018" w:type="dxa"/>
            <w:vAlign w:val="center"/>
          </w:tcPr>
          <w:p w:rsidR="00E13763" w:rsidRPr="003118F7" w:rsidRDefault="00E13763" w:rsidP="0088522E">
            <w:pPr>
              <w:ind w:right="40"/>
              <w:jc w:val="center"/>
              <w:rPr>
                <w:sz w:val="20"/>
                <w:szCs w:val="20"/>
              </w:rPr>
            </w:pPr>
            <w:r>
              <w:rPr>
                <w:sz w:val="20"/>
                <w:szCs w:val="20"/>
              </w:rPr>
              <w:t>5,9</w:t>
            </w:r>
          </w:p>
        </w:tc>
        <w:tc>
          <w:tcPr>
            <w:tcW w:w="1086" w:type="dxa"/>
            <w:vAlign w:val="center"/>
          </w:tcPr>
          <w:p w:rsidR="00E13763" w:rsidRPr="003118F7" w:rsidRDefault="00E13763" w:rsidP="0088522E">
            <w:pPr>
              <w:ind w:right="40"/>
              <w:jc w:val="center"/>
              <w:rPr>
                <w:sz w:val="20"/>
                <w:szCs w:val="20"/>
              </w:rPr>
            </w:pPr>
            <w:r>
              <w:rPr>
                <w:sz w:val="20"/>
                <w:szCs w:val="20"/>
              </w:rPr>
              <w:t>5,8</w:t>
            </w:r>
          </w:p>
        </w:tc>
      </w:tr>
      <w:tr w:rsidR="00E13763" w:rsidRPr="003118F7">
        <w:trPr>
          <w:trHeight w:val="595"/>
        </w:trPr>
        <w:tc>
          <w:tcPr>
            <w:tcW w:w="2520" w:type="dxa"/>
            <w:tcMar>
              <w:left w:w="28" w:type="dxa"/>
              <w:right w:w="28" w:type="dxa"/>
            </w:tcMar>
            <w:vAlign w:val="center"/>
          </w:tcPr>
          <w:p w:rsidR="00E13763" w:rsidRPr="003118F7" w:rsidRDefault="00E13763" w:rsidP="0088522E">
            <w:pPr>
              <w:ind w:right="42"/>
              <w:rPr>
                <w:b/>
                <w:bCs/>
                <w:sz w:val="20"/>
                <w:szCs w:val="20"/>
              </w:rPr>
            </w:pPr>
          </w:p>
        </w:tc>
        <w:tc>
          <w:tcPr>
            <w:tcW w:w="1018" w:type="dxa"/>
            <w:vAlign w:val="center"/>
          </w:tcPr>
          <w:p w:rsidR="00E13763" w:rsidRPr="003118F7" w:rsidRDefault="00E13763" w:rsidP="0088522E">
            <w:pPr>
              <w:ind w:right="42"/>
              <w:jc w:val="center"/>
              <w:rPr>
                <w:b/>
                <w:bCs/>
                <w:sz w:val="20"/>
                <w:szCs w:val="20"/>
              </w:rPr>
            </w:pPr>
            <w:r>
              <w:rPr>
                <w:b/>
                <w:bCs/>
                <w:sz w:val="20"/>
                <w:szCs w:val="20"/>
              </w:rPr>
              <w:t>2012</w:t>
            </w:r>
            <w:r w:rsidRPr="003118F7">
              <w:rPr>
                <w:b/>
                <w:bCs/>
                <w:sz w:val="20"/>
                <w:szCs w:val="20"/>
              </w:rPr>
              <w:t xml:space="preserve"> Yıllık Tahmin</w:t>
            </w:r>
          </w:p>
        </w:tc>
        <w:tc>
          <w:tcPr>
            <w:tcW w:w="1086" w:type="dxa"/>
          </w:tcPr>
          <w:p w:rsidR="00E13763" w:rsidRDefault="00E13763" w:rsidP="0088522E">
            <w:pPr>
              <w:ind w:right="42"/>
              <w:jc w:val="center"/>
              <w:rPr>
                <w:b/>
                <w:bCs/>
                <w:sz w:val="20"/>
                <w:szCs w:val="20"/>
              </w:rPr>
            </w:pPr>
          </w:p>
        </w:tc>
      </w:tr>
      <w:tr w:rsidR="00E13763" w:rsidRPr="003118F7">
        <w:trPr>
          <w:trHeight w:val="499"/>
        </w:trPr>
        <w:tc>
          <w:tcPr>
            <w:tcW w:w="2520" w:type="dxa"/>
            <w:tcMar>
              <w:left w:w="28" w:type="dxa"/>
              <w:right w:w="28" w:type="dxa"/>
            </w:tcMar>
            <w:vAlign w:val="center"/>
          </w:tcPr>
          <w:p w:rsidR="00E13763" w:rsidRPr="003118F7" w:rsidRDefault="00E13763" w:rsidP="0088522E">
            <w:pPr>
              <w:ind w:right="42"/>
              <w:rPr>
                <w:sz w:val="20"/>
                <w:szCs w:val="20"/>
              </w:rPr>
            </w:pPr>
            <w:r w:rsidRPr="003118F7">
              <w:rPr>
                <w:sz w:val="20"/>
                <w:szCs w:val="20"/>
              </w:rPr>
              <w:t>GSYH büyüme, reel (yıllık)</w:t>
            </w:r>
          </w:p>
        </w:tc>
        <w:tc>
          <w:tcPr>
            <w:tcW w:w="1018" w:type="dxa"/>
            <w:vAlign w:val="center"/>
          </w:tcPr>
          <w:p w:rsidR="00E13763" w:rsidRPr="003118F7" w:rsidRDefault="00E13763" w:rsidP="0088522E">
            <w:pPr>
              <w:ind w:right="42"/>
              <w:jc w:val="center"/>
              <w:rPr>
                <w:sz w:val="20"/>
                <w:szCs w:val="20"/>
              </w:rPr>
            </w:pPr>
            <w:r>
              <w:rPr>
                <w:sz w:val="20"/>
                <w:szCs w:val="20"/>
              </w:rPr>
              <w:t>2,6</w:t>
            </w:r>
          </w:p>
        </w:tc>
        <w:tc>
          <w:tcPr>
            <w:tcW w:w="1086" w:type="dxa"/>
          </w:tcPr>
          <w:p w:rsidR="00E13763" w:rsidRDefault="00E13763" w:rsidP="0088522E">
            <w:pPr>
              <w:ind w:right="42"/>
              <w:jc w:val="center"/>
              <w:rPr>
                <w:sz w:val="20"/>
                <w:szCs w:val="20"/>
              </w:rPr>
            </w:pPr>
          </w:p>
        </w:tc>
      </w:tr>
    </w:tbl>
    <w:p w:rsidR="00E13763" w:rsidRPr="0070556E" w:rsidRDefault="00E13763" w:rsidP="00F83188">
      <w:pPr>
        <w:ind w:left="-360" w:right="40"/>
        <w:rPr>
          <w:sz w:val="4"/>
          <w:szCs w:val="4"/>
        </w:rPr>
      </w:pPr>
    </w:p>
    <w:p w:rsidR="00E13763" w:rsidRPr="00C674EC" w:rsidRDefault="00E13763" w:rsidP="00F83188">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E13763" w:rsidRDefault="00E13763" w:rsidP="00F83188">
      <w:pPr>
        <w:spacing w:line="360" w:lineRule="auto"/>
        <w:ind w:left="-360" w:right="42"/>
        <w:rPr>
          <w:b/>
          <w:bCs/>
          <w:sz w:val="22"/>
          <w:szCs w:val="22"/>
        </w:rPr>
      </w:pPr>
    </w:p>
    <w:p w:rsidR="00E13763" w:rsidRDefault="00E13763" w:rsidP="00F83188">
      <w:pPr>
        <w:ind w:left="-360"/>
        <w:rPr>
          <w:rFonts w:ascii="Arial" w:hAnsi="Arial" w:cs="Arial"/>
          <w:sz w:val="16"/>
          <w:szCs w:val="16"/>
        </w:rPr>
      </w:pPr>
    </w:p>
    <w:p w:rsidR="00E13763" w:rsidRDefault="00E13763" w:rsidP="00F83188">
      <w:pPr>
        <w:ind w:left="-360"/>
        <w:jc w:val="center"/>
        <w:rPr>
          <w:b/>
          <w:bCs/>
          <w:sz w:val="22"/>
          <w:szCs w:val="22"/>
        </w:rPr>
      </w:pPr>
      <w:r>
        <w:rPr>
          <w:b/>
          <w:bCs/>
          <w:sz w:val="22"/>
          <w:szCs w:val="22"/>
        </w:rPr>
        <w:t>Ekonomi büyümeye devam ediyor ama istenildiği kadar canlı değil</w:t>
      </w:r>
    </w:p>
    <w:p w:rsidR="00E13763" w:rsidRDefault="00E13763" w:rsidP="00F83188">
      <w:pPr>
        <w:spacing w:line="360" w:lineRule="auto"/>
        <w:ind w:left="-360" w:right="42"/>
        <w:jc w:val="both"/>
        <w:rPr>
          <w:sz w:val="22"/>
          <w:szCs w:val="22"/>
        </w:rPr>
      </w:pPr>
    </w:p>
    <w:p w:rsidR="00E13763" w:rsidRDefault="00E13763" w:rsidP="00F83188">
      <w:pPr>
        <w:spacing w:line="360" w:lineRule="auto"/>
        <w:ind w:left="-360" w:right="42"/>
        <w:jc w:val="both"/>
        <w:rPr>
          <w:sz w:val="22"/>
          <w:szCs w:val="22"/>
        </w:rPr>
      </w:pPr>
      <w:r>
        <w:rPr>
          <w:sz w:val="22"/>
          <w:szCs w:val="22"/>
        </w:rPr>
        <w:t xml:space="preserve">Sanayi Üretim Endeksi’ndeki revizyondan sonra 4. çeyrekte 3. çeyreğe kıyasla daha iyi bir toparlanma olduğunu görüyoruz. 3. çeyrekte yüzde 0,6 oranında azalan sanayi üretimi 4. çeyrekte yüzde 0,7 oranında arttı. Ocak ayında ise aylık bazdaki artış Aralık ayındaki düşüşü tam olarak telafi etmiş değil. Çeyreklik bazda ise Şubat ve Mart aylarında artışlar devam etmezse SÜE yatay seyredebilir.  </w:t>
      </w:r>
    </w:p>
    <w:p w:rsidR="00E13763" w:rsidRDefault="00E13763" w:rsidP="00F83188">
      <w:pPr>
        <w:spacing w:line="360" w:lineRule="auto"/>
        <w:ind w:left="-360" w:right="42"/>
        <w:jc w:val="both"/>
        <w:rPr>
          <w:sz w:val="22"/>
          <w:szCs w:val="22"/>
        </w:rPr>
      </w:pPr>
    </w:p>
    <w:p w:rsidR="00E13763" w:rsidRDefault="00E13763" w:rsidP="00F83188">
      <w:pPr>
        <w:spacing w:line="360" w:lineRule="auto"/>
        <w:ind w:left="-360" w:right="42"/>
        <w:jc w:val="both"/>
        <w:rPr>
          <w:sz w:val="22"/>
          <w:szCs w:val="22"/>
        </w:rPr>
      </w:pPr>
      <w:r>
        <w:rPr>
          <w:sz w:val="22"/>
          <w:szCs w:val="22"/>
        </w:rPr>
        <w:lastRenderedPageBreak/>
        <w:t xml:space="preserve">Öte yandan Ocak ayında ithalattaki artışlar Aralık ayındaki düşüşleri telafi etmiş görünüyor. Çeyreklik bazda altın hariç ithalatta artış devam ediyor. Özellikle yatırım malı ithalatı 1. çeyrekte yatırımlarda güçlü bir canlanma görülebileceğine işaret ediyor. Aramalı ithalatındaki artışlar da bunu destekliyor. Ancak ithalattaki artışın ihracattaki artıştan yüksek seyretmesi dış ticaretin büyümeye katkısının negatif olmasına neden oluyor. 4. çeyrekte ihracattaki düşüş ağırlıklı olarak altın ticaretinin sona ermesinden kaynaklanmıştı. Ancak Ocak ayında altın dışı ithalat artış hızının ihracatı geçtiğini görüyoruz. </w:t>
      </w:r>
    </w:p>
    <w:p w:rsidR="00E13763" w:rsidRDefault="00E13763" w:rsidP="00F83188">
      <w:pPr>
        <w:spacing w:line="360" w:lineRule="auto"/>
        <w:ind w:left="-360" w:right="42"/>
        <w:jc w:val="both"/>
        <w:rPr>
          <w:sz w:val="22"/>
          <w:szCs w:val="22"/>
        </w:rPr>
      </w:pPr>
    </w:p>
    <w:p w:rsidR="00E13763" w:rsidRDefault="00E13763" w:rsidP="00F83188">
      <w:pPr>
        <w:spacing w:line="360" w:lineRule="auto"/>
        <w:ind w:left="-360" w:right="42"/>
        <w:jc w:val="both"/>
        <w:rPr>
          <w:sz w:val="22"/>
          <w:szCs w:val="22"/>
        </w:rPr>
      </w:pPr>
      <w:r>
        <w:rPr>
          <w:sz w:val="22"/>
          <w:szCs w:val="22"/>
        </w:rPr>
        <w:t>Tüketim tarafında ağırlığın dayanıksız tüketim mallarındaki artıştan geldiğini ancak dayanıklı tüketim malı imalatının iki çeyrektir azaldığının altını çizmek gerekiyor. Dayanıklı tüketim malı imalatı pozitife dönmeden tüketimde gerçek bir canlanmadan bahsetmek zor. Binek otomobil üretiminde de Ocak ayında artış olsa da çeyreksel bazda azalma var. Öte yandan tüketici güven endeksinde ise Ocak ayında yatay seyir görüyoruz.</w:t>
      </w:r>
    </w:p>
    <w:p w:rsidR="00E13763" w:rsidRDefault="00E13763" w:rsidP="00F83188">
      <w:pPr>
        <w:spacing w:line="360" w:lineRule="auto"/>
        <w:ind w:left="-360" w:right="42"/>
        <w:jc w:val="both"/>
        <w:rPr>
          <w:sz w:val="22"/>
          <w:szCs w:val="22"/>
        </w:rPr>
      </w:pPr>
    </w:p>
    <w:p w:rsidR="00E13763" w:rsidRPr="00674304" w:rsidRDefault="00E13763" w:rsidP="00674304">
      <w:pPr>
        <w:spacing w:line="360" w:lineRule="auto"/>
        <w:ind w:left="-360" w:right="42"/>
        <w:jc w:val="both"/>
        <w:rPr>
          <w:sz w:val="22"/>
          <w:szCs w:val="22"/>
        </w:rPr>
      </w:pPr>
      <w:r>
        <w:rPr>
          <w:sz w:val="22"/>
          <w:szCs w:val="22"/>
        </w:rPr>
        <w:t>Ocak ayı göstergeleri ekonomide büyümenin devam ettiğine işaret ediyor ancak henüz güçlü bir canlanma işareti yok. Göstergeler daha çok dış talebe dayalı bir büyümeden iç talebe dayalı büyümeye geçiş döneminde olduğumuzu ima ediyor. Betam’ın birinci çeyrek için ilk büyüme tahmini çeyrekten çeyreğe yüzde 0,5. Buna paralel olarak geçen yılın aynı çeyreğine göre büyümeyi yüzde 3,0 olarak hesaplıyoruz. 2012 yılı 4. çe</w:t>
      </w:r>
      <w:r w:rsidR="00B16F1E">
        <w:rPr>
          <w:sz w:val="22"/>
          <w:szCs w:val="22"/>
        </w:rPr>
        <w:t>yrek yıllık ve yılın bütününe yö</w:t>
      </w:r>
      <w:r>
        <w:rPr>
          <w:sz w:val="22"/>
          <w:szCs w:val="22"/>
        </w:rPr>
        <w:t>nelik büyüme tahminimizde revizyona gitmedik. Bunlar sırasıyla hal</w:t>
      </w:r>
      <w:r w:rsidR="00B16F1E">
        <w:rPr>
          <w:sz w:val="22"/>
          <w:szCs w:val="22"/>
        </w:rPr>
        <w:t>a çeyreklik yüzde 2,4 ve yıllık</w:t>
      </w:r>
      <w:r>
        <w:rPr>
          <w:sz w:val="22"/>
          <w:szCs w:val="22"/>
        </w:rPr>
        <w:t xml:space="preserve"> yüzde 2,6 düzeyinde.</w:t>
      </w:r>
    </w:p>
    <w:p w:rsidR="00E13763" w:rsidRDefault="00E13763" w:rsidP="00F83188">
      <w:pPr>
        <w:spacing w:line="360" w:lineRule="auto"/>
        <w:ind w:left="-360" w:right="42"/>
        <w:jc w:val="center"/>
        <w:rPr>
          <w:b/>
          <w:bCs/>
          <w:sz w:val="22"/>
          <w:szCs w:val="22"/>
        </w:rPr>
      </w:pPr>
      <w:r>
        <w:rPr>
          <w:b/>
          <w:bCs/>
          <w:sz w:val="22"/>
          <w:szCs w:val="22"/>
        </w:rPr>
        <w:lastRenderedPageBreak/>
        <w:t xml:space="preserve">Geçiş dönemi </w:t>
      </w:r>
    </w:p>
    <w:p w:rsidR="00E13763" w:rsidRPr="00EC7A05" w:rsidRDefault="00E13763" w:rsidP="00F83188">
      <w:pPr>
        <w:spacing w:line="360" w:lineRule="auto"/>
        <w:ind w:left="-360" w:right="42"/>
        <w:jc w:val="center"/>
        <w:rPr>
          <w:b/>
          <w:bCs/>
          <w:sz w:val="22"/>
          <w:szCs w:val="22"/>
        </w:rPr>
      </w:pPr>
    </w:p>
    <w:p w:rsidR="00E13763" w:rsidRDefault="00E13763" w:rsidP="00F83188">
      <w:pPr>
        <w:spacing w:line="360" w:lineRule="auto"/>
        <w:ind w:left="-360" w:right="42"/>
        <w:jc w:val="both"/>
        <w:rPr>
          <w:sz w:val="22"/>
          <w:szCs w:val="22"/>
        </w:rPr>
      </w:pPr>
      <w:r>
        <w:rPr>
          <w:sz w:val="22"/>
          <w:szCs w:val="22"/>
        </w:rPr>
        <w:t>Ekonomide iç talebi canlandırmaya yönelik politikaların etkileri yavaş yavaş görünüyor. Kredi artış hızı arzulanan yüzde 15’in üzerinde seyrederken tüketim ve yatırımlar da sınırlı ölçüde canlanıyor. Ancak bu canlanma ithalatı artırırken henüz üretime tam olarak yansımış değil. İhracat artış hızının ithalat artışının gerisinde kalması ise</w:t>
      </w:r>
    </w:p>
    <w:p w:rsidR="00E13763" w:rsidRDefault="00E13763" w:rsidP="00F83188">
      <w:pPr>
        <w:spacing w:line="360" w:lineRule="auto"/>
        <w:ind w:left="-360" w:right="42"/>
        <w:jc w:val="both"/>
        <w:rPr>
          <w:sz w:val="22"/>
          <w:szCs w:val="22"/>
        </w:rPr>
      </w:pPr>
      <w:r>
        <w:rPr>
          <w:sz w:val="22"/>
          <w:szCs w:val="22"/>
        </w:rPr>
        <w:t>Merkez Bankası’nın “dış talepteki artış kadar iç talep canlanmasına izin verme” ve bu sayede dengeli büyüme planına darbe vurabilir. Betam birinci çeyrek sonunda cari açığın GSYH’a oranının 2012 sonundaki 5,9 oranına yakın yüzde 5,8 seviyesinde gerçekleşeceğini tahmin ediyor. İç talepte canlanma güçlenirse cari açıkta da artışlar görülecektir. Ancak göstergeler şimdilik canlanmanın zayıf kaldığına işaret ediyor.</w:t>
      </w:r>
    </w:p>
    <w:p w:rsidR="00E13763" w:rsidRDefault="00E13763" w:rsidP="00B33409">
      <w:pPr>
        <w:ind w:left="-360"/>
        <w:jc w:val="center"/>
        <w:rPr>
          <w:b/>
          <w:bCs/>
          <w:sz w:val="22"/>
          <w:szCs w:val="22"/>
        </w:rPr>
      </w:pPr>
    </w:p>
    <w:p w:rsidR="00E13763" w:rsidRDefault="00E13763" w:rsidP="007D3E0C">
      <w:pPr>
        <w:spacing w:line="360" w:lineRule="auto"/>
        <w:ind w:left="-360" w:right="42"/>
        <w:jc w:val="center"/>
        <w:rPr>
          <w:b/>
          <w:bCs/>
          <w:sz w:val="22"/>
          <w:szCs w:val="22"/>
        </w:rPr>
      </w:pPr>
      <w:r>
        <w:rPr>
          <w:b/>
          <w:bCs/>
          <w:sz w:val="22"/>
          <w:szCs w:val="22"/>
        </w:rPr>
        <w:t>Özel tüketim harcamalarında belirsizlik</w:t>
      </w:r>
    </w:p>
    <w:p w:rsidR="00E13763" w:rsidRDefault="00E13763" w:rsidP="00801F91">
      <w:pPr>
        <w:spacing w:line="360" w:lineRule="auto"/>
        <w:ind w:left="-360" w:right="42"/>
        <w:jc w:val="center"/>
        <w:rPr>
          <w:b/>
          <w:bCs/>
          <w:sz w:val="22"/>
          <w:szCs w:val="22"/>
        </w:rPr>
      </w:pPr>
    </w:p>
    <w:p w:rsidR="00E13763" w:rsidRDefault="00E13763" w:rsidP="008937F7">
      <w:pPr>
        <w:spacing w:line="360" w:lineRule="auto"/>
        <w:ind w:left="-360" w:right="42"/>
        <w:jc w:val="both"/>
        <w:rPr>
          <w:sz w:val="22"/>
          <w:szCs w:val="22"/>
        </w:rPr>
      </w:pPr>
      <w:r>
        <w:rPr>
          <w:sz w:val="22"/>
          <w:szCs w:val="22"/>
        </w:rPr>
        <w:t>Tüketim malı ithalatı ve dayanıksız tüketim malı imalatı Aralık ayındaki düşüşün ardından Ocak ayında sırasıyla yüzde 8,3 ve yüzde 2,0 arttı. Dayanıklı tüketim malı imalatı ise genel olarak düşüş trendini devam ettiriyor. Tüketici güven endeksi ise Şubat ayında çok küçük bir düşüş yaşadı ve yüzde 0,1 azaldı. Özel tüketim vergisi (ÖTV) gelirleri Ocak ayında yüzde 3,7 arttı ama aynı ay özellikle sigara üzerindeki vergiler de yükseldiği için ÖTV gelirlerindeki artış, tüketimdeki canlanmayla ilgili bize kesin bir işaret vermiyor. Genel olarak Şubat ayı tüketim ve ithalat verilerini görmeden 2013 1. çeyrekteki özel tüketim harcamaları ile ilgili bir şey söylemek zor.</w:t>
      </w:r>
    </w:p>
    <w:p w:rsidR="00E13763" w:rsidRDefault="00E13763" w:rsidP="007D3E0C">
      <w:pPr>
        <w:spacing w:line="360" w:lineRule="auto"/>
        <w:ind w:right="42"/>
        <w:rPr>
          <w:b/>
          <w:bCs/>
          <w:sz w:val="22"/>
          <w:szCs w:val="22"/>
        </w:rPr>
      </w:pPr>
    </w:p>
    <w:p w:rsidR="00E13763" w:rsidRDefault="00E13763" w:rsidP="00801F91">
      <w:pPr>
        <w:spacing w:line="360" w:lineRule="auto"/>
        <w:ind w:left="-360" w:right="42"/>
        <w:jc w:val="center"/>
        <w:rPr>
          <w:b/>
          <w:bCs/>
          <w:sz w:val="22"/>
          <w:szCs w:val="22"/>
        </w:rPr>
      </w:pPr>
    </w:p>
    <w:p w:rsidR="00E13763" w:rsidRDefault="00E13763" w:rsidP="00801F91">
      <w:pPr>
        <w:spacing w:line="360" w:lineRule="auto"/>
        <w:ind w:left="-360" w:right="42"/>
        <w:jc w:val="center"/>
        <w:rPr>
          <w:b/>
          <w:bCs/>
          <w:sz w:val="22"/>
          <w:szCs w:val="22"/>
        </w:rPr>
      </w:pPr>
      <w:r>
        <w:rPr>
          <w:b/>
          <w:bCs/>
          <w:sz w:val="22"/>
          <w:szCs w:val="22"/>
        </w:rPr>
        <w:lastRenderedPageBreak/>
        <w:t>Yatırım harcamaları artıyor</w:t>
      </w:r>
    </w:p>
    <w:p w:rsidR="00E13763" w:rsidRDefault="00E13763" w:rsidP="00801F91">
      <w:pPr>
        <w:spacing w:line="360" w:lineRule="auto"/>
        <w:ind w:left="-360" w:right="42"/>
        <w:jc w:val="center"/>
        <w:rPr>
          <w:b/>
          <w:bCs/>
          <w:sz w:val="22"/>
          <w:szCs w:val="22"/>
        </w:rPr>
      </w:pPr>
    </w:p>
    <w:p w:rsidR="00E13763" w:rsidRDefault="00E13763" w:rsidP="00801F91">
      <w:pPr>
        <w:spacing w:line="360" w:lineRule="auto"/>
        <w:ind w:left="-360" w:right="42"/>
        <w:jc w:val="both"/>
        <w:rPr>
          <w:sz w:val="22"/>
          <w:szCs w:val="22"/>
        </w:rPr>
      </w:pPr>
      <w:r>
        <w:rPr>
          <w:sz w:val="22"/>
          <w:szCs w:val="22"/>
        </w:rPr>
        <w:t xml:space="preserve">Reel kesim güven endeksi Şubat ayında yüzde 3,0 yükseldi. Yatırım malı ithalatı ile yatırım malı imalatı Aralık ayındaki düşüşlerin ardından, Ocak ayında biraz toparlanmışa benziyor. Kapasite kullanım oranı aşağıya doğru dalgalı seyrini koruyor. SÜE Ocak ayında yüzde 2,3 artması 2013 1. çeyrek için iyi bir öncü işaret ama Aralık ayında yüzde 3,5 düştüğünü hesaba katarsak Şubat ayı verilerini görmeden 2013 1. çeyrek hakkında kesin bir kanıya varmak zor. Buna rağmen Yatırım malı imalatı ve ithalatı önümüzdeki aylarda bulunduğu seviyeyi koruyabilirse özel yatırım harcamalarının 2013 1. çeyreğinde GSYH’a pozitif katkı yapacağını söyleyebiliriz.  </w:t>
      </w:r>
    </w:p>
    <w:p w:rsidR="00E13763" w:rsidRPr="00B20A56" w:rsidRDefault="00E13763" w:rsidP="004E5446">
      <w:pPr>
        <w:spacing w:line="360" w:lineRule="auto"/>
        <w:ind w:left="-360" w:right="42"/>
        <w:jc w:val="both"/>
        <w:rPr>
          <w:sz w:val="22"/>
          <w:szCs w:val="22"/>
        </w:rPr>
      </w:pPr>
      <w:r>
        <w:rPr>
          <w:sz w:val="22"/>
          <w:szCs w:val="22"/>
        </w:rPr>
        <w:t xml:space="preserve"> </w:t>
      </w:r>
    </w:p>
    <w:p w:rsidR="00E13763" w:rsidRDefault="00E13763" w:rsidP="00801F91">
      <w:pPr>
        <w:spacing w:line="360" w:lineRule="auto"/>
        <w:ind w:left="-360" w:right="42"/>
        <w:jc w:val="center"/>
        <w:rPr>
          <w:b/>
          <w:bCs/>
          <w:sz w:val="22"/>
          <w:szCs w:val="22"/>
        </w:rPr>
      </w:pPr>
      <w:r>
        <w:rPr>
          <w:b/>
          <w:bCs/>
          <w:sz w:val="22"/>
          <w:szCs w:val="22"/>
        </w:rPr>
        <w:t xml:space="preserve">Net ihracat 2013 1. çeyrek itibariyle negatife dönebilir </w:t>
      </w:r>
    </w:p>
    <w:p w:rsidR="00E13763" w:rsidRDefault="00E13763" w:rsidP="00801F91">
      <w:pPr>
        <w:spacing w:line="360" w:lineRule="auto"/>
        <w:ind w:left="-360" w:right="42"/>
        <w:jc w:val="center"/>
        <w:rPr>
          <w:b/>
          <w:bCs/>
          <w:sz w:val="22"/>
          <w:szCs w:val="22"/>
        </w:rPr>
      </w:pPr>
    </w:p>
    <w:p w:rsidR="00E13763" w:rsidRDefault="00E13763" w:rsidP="007D3E0C">
      <w:pPr>
        <w:spacing w:line="360" w:lineRule="auto"/>
        <w:ind w:left="-360" w:right="42"/>
        <w:jc w:val="both"/>
        <w:rPr>
          <w:sz w:val="22"/>
          <w:szCs w:val="22"/>
        </w:rPr>
      </w:pPr>
      <w:r>
        <w:rPr>
          <w:sz w:val="22"/>
          <w:szCs w:val="22"/>
        </w:rPr>
        <w:t xml:space="preserve">Şekil 2 TÜİK’in açıkladığı mevsim ve takvim etkisinden arındırılmış ihracat ve ithalat miktar endekslerini gösteriyor. 2013 Ocak ayında bir önceki aya göre ihracat miktar endeksi yüzde 0,4 artarken ve ithalat miktar endeksi sırasıyla yüzde 5,7 arttı. 2011 2. çeyrek ile 2012 3. çeyrek arasında çeyreklik bazda net ihracat reel GSYH’a hep pozitif katkı yapıyordu. Bu trendin 2013 1. çeyrek itibariyle bitmesi olası.  </w:t>
      </w:r>
    </w:p>
    <w:p w:rsidR="00E13763" w:rsidRPr="007D3E0C" w:rsidRDefault="00E13763" w:rsidP="007D3E0C">
      <w:pPr>
        <w:spacing w:line="360" w:lineRule="auto"/>
        <w:ind w:left="-360" w:right="42"/>
        <w:jc w:val="both"/>
        <w:rPr>
          <w:sz w:val="22"/>
          <w:szCs w:val="22"/>
        </w:rPr>
      </w:pPr>
    </w:p>
    <w:p w:rsidR="003B65FB" w:rsidRDefault="003B65FB" w:rsidP="00647DB4">
      <w:pPr>
        <w:spacing w:line="360" w:lineRule="auto"/>
        <w:ind w:right="42"/>
        <w:jc w:val="center"/>
        <w:rPr>
          <w:b/>
          <w:bCs/>
          <w:sz w:val="22"/>
          <w:szCs w:val="22"/>
        </w:rPr>
      </w:pPr>
    </w:p>
    <w:p w:rsidR="003B65FB" w:rsidRDefault="003B65FB" w:rsidP="00647DB4">
      <w:pPr>
        <w:spacing w:line="360" w:lineRule="auto"/>
        <w:ind w:right="42"/>
        <w:jc w:val="center"/>
        <w:rPr>
          <w:b/>
          <w:bCs/>
          <w:sz w:val="22"/>
          <w:szCs w:val="22"/>
        </w:rPr>
      </w:pPr>
    </w:p>
    <w:p w:rsidR="00E13763" w:rsidRDefault="003B65FB" w:rsidP="00647DB4">
      <w:pPr>
        <w:spacing w:line="360" w:lineRule="auto"/>
        <w:ind w:right="42"/>
        <w:jc w:val="center"/>
        <w:rPr>
          <w:b/>
          <w:bCs/>
          <w:sz w:val="22"/>
          <w:szCs w:val="22"/>
        </w:rPr>
      </w:pPr>
      <w:r>
        <w:rPr>
          <w:b/>
          <w:bCs/>
          <w:sz w:val="22"/>
          <w:szCs w:val="22"/>
        </w:rPr>
        <w:lastRenderedPageBreak/>
        <w:t>Cari açık 1. çeyrekte yatay</w:t>
      </w:r>
    </w:p>
    <w:p w:rsidR="00E13763" w:rsidRPr="003A3575" w:rsidRDefault="00E13763" w:rsidP="00647DB4">
      <w:pPr>
        <w:spacing w:line="360" w:lineRule="auto"/>
        <w:ind w:right="42"/>
        <w:jc w:val="center"/>
        <w:rPr>
          <w:b/>
          <w:bCs/>
          <w:sz w:val="22"/>
          <w:szCs w:val="22"/>
        </w:rPr>
      </w:pPr>
    </w:p>
    <w:p w:rsidR="00E13763" w:rsidRDefault="00E13763" w:rsidP="00647DB4">
      <w:pPr>
        <w:spacing w:line="360" w:lineRule="auto"/>
        <w:ind w:left="-360" w:right="42"/>
        <w:jc w:val="both"/>
        <w:rPr>
          <w:sz w:val="22"/>
          <w:szCs w:val="22"/>
        </w:rPr>
      </w:pPr>
      <w:r>
        <w:rPr>
          <w:sz w:val="22"/>
          <w:szCs w:val="22"/>
        </w:rPr>
        <w:t xml:space="preserve">Turizm rakamlarında yapılan revizyonla beraber 2012 yılı cari açığı 46,9 milyar dolara indi. Böylece Betam’ın 2012 yıl sonu cari açık tahmini yüzde 5,9’a revize edildi. Ocak ayında geçen senenin aynı ayına göre dış ticaret açığında çok küçük bir artış oldu; 7,1 milyar dolardan 7,3 milyar dolara çıktı. Cari açık ise geçen sene ile hemen hemen aynı düzeyde 5,6 milyar dolar olarak gerçekleşti. Altın ticareti ise önemini yitirdi. </w:t>
      </w:r>
    </w:p>
    <w:p w:rsidR="00E13763" w:rsidRDefault="00E13763" w:rsidP="00647DB4">
      <w:pPr>
        <w:spacing w:line="360" w:lineRule="auto"/>
        <w:ind w:left="-360" w:right="42"/>
        <w:jc w:val="both"/>
        <w:rPr>
          <w:sz w:val="22"/>
          <w:szCs w:val="22"/>
        </w:rPr>
      </w:pPr>
    </w:p>
    <w:p w:rsidR="00E13763" w:rsidRDefault="00E13763" w:rsidP="00647DB4">
      <w:pPr>
        <w:spacing w:line="360" w:lineRule="auto"/>
        <w:ind w:left="-360" w:right="42"/>
        <w:jc w:val="both"/>
        <w:rPr>
          <w:sz w:val="22"/>
          <w:szCs w:val="22"/>
        </w:rPr>
      </w:pPr>
      <w:r>
        <w:rPr>
          <w:sz w:val="22"/>
          <w:szCs w:val="22"/>
        </w:rPr>
        <w:t>Ocak sonunda 12 aylık cari açık 46,8 milyar dolar oldu. Baz etkisinin geçmesi ve ekonomide beklenen güçlü canlanma yerine daha zayıf bir büyüme rejiminin devam ediyor olması cari açığın yatay seyre geçmesine neden oluyor. Betam 2012 sonunda 5,9 olan cari açığın GSYH’a oranının birinci çeyrek sonunda yüzde 5,8</w:t>
      </w:r>
      <w:r w:rsidRPr="009014BB">
        <w:rPr>
          <w:sz w:val="22"/>
          <w:szCs w:val="22"/>
        </w:rPr>
        <w:t>’</w:t>
      </w:r>
      <w:r>
        <w:rPr>
          <w:sz w:val="22"/>
          <w:szCs w:val="22"/>
        </w:rPr>
        <w:t>d</w:t>
      </w:r>
      <w:r w:rsidRPr="009014BB">
        <w:rPr>
          <w:sz w:val="22"/>
          <w:szCs w:val="22"/>
        </w:rPr>
        <w:t>e</w:t>
      </w:r>
      <w:r>
        <w:rPr>
          <w:sz w:val="22"/>
          <w:szCs w:val="22"/>
        </w:rPr>
        <w:t xml:space="preserve"> kalacağını tahmin ediyor.</w:t>
      </w: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pPr>
    </w:p>
    <w:p w:rsidR="00E13763" w:rsidRDefault="00E13763" w:rsidP="00A7254E">
      <w:pPr>
        <w:spacing w:line="360" w:lineRule="auto"/>
        <w:ind w:left="-360" w:right="42"/>
        <w:jc w:val="both"/>
        <w:rPr>
          <w:sz w:val="22"/>
          <w:szCs w:val="22"/>
        </w:rPr>
        <w:sectPr w:rsidR="00E13763" w:rsidSect="000F0C2B">
          <w:type w:val="continuous"/>
          <w:pgSz w:w="11906" w:h="16838"/>
          <w:pgMar w:top="1417" w:right="1417" w:bottom="1417" w:left="1417" w:header="708" w:footer="708" w:gutter="0"/>
          <w:cols w:num="2" w:space="708" w:equalWidth="0">
            <w:col w:w="4182" w:space="708"/>
            <w:col w:w="4182"/>
          </w:cols>
          <w:docGrid w:linePitch="360"/>
        </w:sectPr>
      </w:pPr>
    </w:p>
    <w:p w:rsidR="00E13763" w:rsidRDefault="00E13763" w:rsidP="008A0F64">
      <w:pPr>
        <w:spacing w:line="360" w:lineRule="auto"/>
        <w:ind w:right="42"/>
        <w:jc w:val="both"/>
        <w:rPr>
          <w:b/>
          <w:bCs/>
          <w:sz w:val="22"/>
          <w:szCs w:val="22"/>
        </w:rPr>
      </w:pPr>
    </w:p>
    <w:p w:rsidR="00E13763" w:rsidRDefault="00E13763" w:rsidP="008A0F64">
      <w:pPr>
        <w:spacing w:line="360" w:lineRule="auto"/>
        <w:ind w:right="42"/>
        <w:jc w:val="both"/>
        <w:rPr>
          <w:b/>
          <w:bCs/>
          <w:sz w:val="22"/>
          <w:szCs w:val="22"/>
        </w:rPr>
      </w:pPr>
    </w:p>
    <w:p w:rsidR="00E13763" w:rsidRDefault="00E13763" w:rsidP="008A0F64">
      <w:pPr>
        <w:spacing w:line="360" w:lineRule="auto"/>
        <w:ind w:right="42"/>
        <w:jc w:val="both"/>
        <w:rPr>
          <w:b/>
          <w:bCs/>
          <w:sz w:val="22"/>
          <w:szCs w:val="22"/>
        </w:rPr>
      </w:pPr>
    </w:p>
    <w:p w:rsidR="00E13763" w:rsidRDefault="00E13763" w:rsidP="008A0F64">
      <w:pPr>
        <w:spacing w:line="360" w:lineRule="auto"/>
        <w:ind w:right="42"/>
        <w:jc w:val="both"/>
        <w:rPr>
          <w:b/>
          <w:bCs/>
          <w:sz w:val="22"/>
          <w:szCs w:val="22"/>
        </w:rPr>
      </w:pPr>
    </w:p>
    <w:p w:rsidR="00E13763" w:rsidRDefault="00E13763" w:rsidP="008A0F64">
      <w:pPr>
        <w:spacing w:line="360" w:lineRule="auto"/>
        <w:ind w:right="42"/>
        <w:jc w:val="both"/>
        <w:rPr>
          <w:b/>
          <w:bCs/>
          <w:sz w:val="22"/>
          <w:szCs w:val="22"/>
        </w:rPr>
      </w:pPr>
    </w:p>
    <w:p w:rsidR="00E13763" w:rsidRPr="00523C58" w:rsidRDefault="00E13763" w:rsidP="008A0F64">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p w:rsidR="00E13763" w:rsidRDefault="00E13763" w:rsidP="0072768C">
      <w:pPr>
        <w:spacing w:line="360" w:lineRule="auto"/>
        <w:ind w:left="-360" w:right="42"/>
        <w:jc w:val="both"/>
        <w:rPr>
          <w:sz w:val="22"/>
          <w:szCs w:val="22"/>
        </w:rPr>
        <w:sectPr w:rsidR="00E13763" w:rsidSect="008651A8">
          <w:type w:val="continuous"/>
          <w:pgSz w:w="11906" w:h="16838"/>
          <w:pgMar w:top="1417" w:right="1417" w:bottom="1417" w:left="1417" w:header="708" w:footer="708" w:gutter="0"/>
          <w:cols w:space="708"/>
          <w:docGrid w:linePitch="360"/>
        </w:sectPr>
      </w:pPr>
    </w:p>
    <w:tbl>
      <w:tblPr>
        <w:tblW w:w="101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0" w:type="dxa"/>
        </w:tblCellMar>
        <w:tblLook w:val="01E0"/>
      </w:tblPr>
      <w:tblGrid>
        <w:gridCol w:w="3245"/>
        <w:gridCol w:w="977"/>
        <w:gridCol w:w="978"/>
        <w:gridCol w:w="978"/>
        <w:gridCol w:w="978"/>
        <w:gridCol w:w="978"/>
        <w:gridCol w:w="987"/>
        <w:gridCol w:w="988"/>
      </w:tblGrid>
      <w:tr w:rsidR="00E13763" w:rsidRPr="006007C7" w:rsidTr="003B65FB">
        <w:tc>
          <w:tcPr>
            <w:tcW w:w="3245" w:type="dxa"/>
            <w:vAlign w:val="bottom"/>
          </w:tcPr>
          <w:p w:rsidR="00E13763" w:rsidRPr="006007C7" w:rsidRDefault="00E13763" w:rsidP="00434618">
            <w:pPr>
              <w:spacing w:line="288" w:lineRule="auto"/>
              <w:ind w:right="77"/>
              <w:jc w:val="center"/>
            </w:pPr>
            <w:r w:rsidRPr="006007C7">
              <w:rPr>
                <w:b/>
                <w:bCs/>
                <w:sz w:val="22"/>
                <w:szCs w:val="22"/>
              </w:rPr>
              <w:lastRenderedPageBreak/>
              <w:t>Ekonomik Göstergeler</w:t>
            </w:r>
          </w:p>
        </w:tc>
        <w:tc>
          <w:tcPr>
            <w:tcW w:w="977" w:type="dxa"/>
            <w:vAlign w:val="center"/>
          </w:tcPr>
          <w:p w:rsidR="00E13763" w:rsidRPr="006007C7" w:rsidRDefault="00E13763" w:rsidP="00121ABE">
            <w:pPr>
              <w:spacing w:line="288" w:lineRule="auto"/>
              <w:ind w:right="77"/>
              <w:jc w:val="center"/>
              <w:rPr>
                <w:b/>
                <w:bCs/>
              </w:rPr>
            </w:pPr>
            <w:r>
              <w:rPr>
                <w:b/>
                <w:bCs/>
              </w:rPr>
              <w:t>Ekim</w:t>
            </w:r>
          </w:p>
        </w:tc>
        <w:tc>
          <w:tcPr>
            <w:tcW w:w="978" w:type="dxa"/>
            <w:vAlign w:val="center"/>
          </w:tcPr>
          <w:p w:rsidR="00E13763" w:rsidRPr="006007C7" w:rsidRDefault="00E13763" w:rsidP="00121ABE">
            <w:pPr>
              <w:spacing w:line="288" w:lineRule="auto"/>
              <w:ind w:right="77"/>
              <w:jc w:val="center"/>
              <w:rPr>
                <w:b/>
                <w:bCs/>
              </w:rPr>
            </w:pPr>
            <w:r>
              <w:rPr>
                <w:b/>
                <w:bCs/>
              </w:rPr>
              <w:t>Kasım</w:t>
            </w:r>
          </w:p>
        </w:tc>
        <w:tc>
          <w:tcPr>
            <w:tcW w:w="978" w:type="dxa"/>
            <w:vAlign w:val="center"/>
          </w:tcPr>
          <w:p w:rsidR="00E13763" w:rsidRPr="006007C7" w:rsidRDefault="00E13763" w:rsidP="00121ABE">
            <w:pPr>
              <w:spacing w:line="288" w:lineRule="auto"/>
              <w:ind w:right="77"/>
              <w:jc w:val="center"/>
              <w:rPr>
                <w:b/>
                <w:bCs/>
              </w:rPr>
            </w:pPr>
            <w:r>
              <w:rPr>
                <w:b/>
                <w:bCs/>
              </w:rPr>
              <w:t>Aralık</w:t>
            </w:r>
          </w:p>
        </w:tc>
        <w:tc>
          <w:tcPr>
            <w:tcW w:w="978" w:type="dxa"/>
            <w:vAlign w:val="center"/>
          </w:tcPr>
          <w:p w:rsidR="00E13763" w:rsidRPr="006007C7" w:rsidRDefault="00E13763" w:rsidP="00121ABE">
            <w:pPr>
              <w:spacing w:line="288" w:lineRule="auto"/>
              <w:ind w:right="77"/>
              <w:jc w:val="center"/>
              <w:rPr>
                <w:b/>
                <w:bCs/>
              </w:rPr>
            </w:pPr>
            <w:r>
              <w:rPr>
                <w:b/>
                <w:bCs/>
              </w:rPr>
              <w:t>Ocak</w:t>
            </w:r>
          </w:p>
        </w:tc>
        <w:tc>
          <w:tcPr>
            <w:tcW w:w="978" w:type="dxa"/>
            <w:tcBorders>
              <w:right w:val="double" w:sz="4" w:space="0" w:color="auto"/>
            </w:tcBorders>
            <w:vAlign w:val="center"/>
          </w:tcPr>
          <w:p w:rsidR="00E13763" w:rsidRPr="006007C7" w:rsidRDefault="00E13763" w:rsidP="00434618">
            <w:pPr>
              <w:spacing w:line="288" w:lineRule="auto"/>
              <w:ind w:right="77"/>
              <w:jc w:val="center"/>
              <w:rPr>
                <w:b/>
                <w:bCs/>
              </w:rPr>
            </w:pPr>
            <w:r>
              <w:rPr>
                <w:b/>
                <w:bCs/>
              </w:rPr>
              <w:t>Şubat</w:t>
            </w:r>
          </w:p>
        </w:tc>
        <w:tc>
          <w:tcPr>
            <w:tcW w:w="987" w:type="dxa"/>
            <w:tcBorders>
              <w:left w:val="double" w:sz="4" w:space="0" w:color="auto"/>
            </w:tcBorders>
            <w:vAlign w:val="center"/>
          </w:tcPr>
          <w:p w:rsidR="00E13763" w:rsidRPr="006007C7" w:rsidRDefault="00E13763" w:rsidP="00434618">
            <w:pPr>
              <w:spacing w:line="288" w:lineRule="auto"/>
              <w:ind w:right="77"/>
              <w:jc w:val="center"/>
              <w:rPr>
                <w:b/>
                <w:bCs/>
              </w:rPr>
            </w:pPr>
            <w:r>
              <w:rPr>
                <w:b/>
                <w:bCs/>
                <w:sz w:val="22"/>
                <w:szCs w:val="22"/>
              </w:rPr>
              <w:t>2012 4</w:t>
            </w:r>
            <w:r w:rsidRPr="006007C7">
              <w:rPr>
                <w:b/>
                <w:bCs/>
                <w:sz w:val="22"/>
                <w:szCs w:val="22"/>
              </w:rPr>
              <w:t>. Çeyrek</w:t>
            </w:r>
          </w:p>
        </w:tc>
        <w:tc>
          <w:tcPr>
            <w:tcW w:w="988" w:type="dxa"/>
            <w:vAlign w:val="center"/>
          </w:tcPr>
          <w:p w:rsidR="00E13763" w:rsidRPr="006007C7" w:rsidRDefault="00E13763" w:rsidP="00434618">
            <w:pPr>
              <w:spacing w:line="288" w:lineRule="auto"/>
              <w:ind w:right="77"/>
              <w:jc w:val="center"/>
              <w:rPr>
                <w:b/>
                <w:bCs/>
              </w:rPr>
            </w:pPr>
            <w:r>
              <w:rPr>
                <w:b/>
                <w:bCs/>
                <w:sz w:val="22"/>
                <w:szCs w:val="22"/>
              </w:rPr>
              <w:t>2013 1</w:t>
            </w:r>
            <w:r w:rsidRPr="006007C7">
              <w:rPr>
                <w:b/>
                <w:bCs/>
                <w:sz w:val="22"/>
                <w:szCs w:val="22"/>
              </w:rPr>
              <w:t>. Çeyrek</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bookmarkStart w:id="0" w:name="_Hlk311108450"/>
            <w:r w:rsidRPr="006007C7">
              <w:rPr>
                <w:b/>
                <w:bCs/>
                <w:sz w:val="22"/>
                <w:szCs w:val="22"/>
              </w:rPr>
              <w:t>İhracat</w:t>
            </w:r>
          </w:p>
        </w:tc>
        <w:tc>
          <w:tcPr>
            <w:tcW w:w="977" w:type="dxa"/>
            <w:tcBorders>
              <w:bottom w:val="nil"/>
            </w:tcBorders>
            <w:vAlign w:val="center"/>
          </w:tcPr>
          <w:p w:rsidR="00E13763" w:rsidRPr="006007C7" w:rsidRDefault="00E13763" w:rsidP="00434618">
            <w:pPr>
              <w:spacing w:line="288" w:lineRule="auto"/>
              <w:ind w:right="77"/>
              <w:jc w:val="center"/>
              <w:rPr>
                <w:b/>
                <w:bCs/>
              </w:rPr>
            </w:pPr>
            <w:r>
              <w:rPr>
                <w:b/>
                <w:bCs/>
              </w:rPr>
              <w:t>1,0</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-4,1</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-4,1</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-0,4</w:t>
            </w: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w:t>
            </w: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rPr>
                <w:b/>
                <w:bCs/>
              </w:rPr>
            </w:pPr>
            <w:r>
              <w:rPr>
                <w:b/>
                <w:bCs/>
              </w:rPr>
              <w:t>-2,1</w:t>
            </w:r>
          </w:p>
        </w:tc>
        <w:tc>
          <w:tcPr>
            <w:tcW w:w="988" w:type="dxa"/>
            <w:tcBorders>
              <w:bottom w:val="nil"/>
            </w:tcBorders>
            <w:vAlign w:val="center"/>
          </w:tcPr>
          <w:p w:rsidR="00E13763" w:rsidRPr="006007C7" w:rsidRDefault="00E13763" w:rsidP="00434618">
            <w:pPr>
              <w:spacing w:line="288" w:lineRule="auto"/>
              <w:ind w:right="77"/>
              <w:jc w:val="center"/>
              <w:rPr>
                <w:b/>
                <w:bCs/>
              </w:rPr>
            </w:pPr>
            <w:r>
              <w:rPr>
                <w:b/>
                <w:bCs/>
              </w:rPr>
              <w:t>-4,6</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İthalat</w:t>
            </w:r>
          </w:p>
        </w:tc>
        <w:tc>
          <w:tcPr>
            <w:tcW w:w="977" w:type="dxa"/>
            <w:tcBorders>
              <w:bottom w:val="nil"/>
            </w:tcBorders>
            <w:vAlign w:val="center"/>
          </w:tcPr>
          <w:p w:rsidR="00E13763" w:rsidRPr="006007C7" w:rsidRDefault="00E13763" w:rsidP="00434618">
            <w:pPr>
              <w:spacing w:line="288" w:lineRule="auto"/>
              <w:ind w:right="77"/>
              <w:jc w:val="center"/>
              <w:rPr>
                <w:b/>
                <w:bCs/>
              </w:rPr>
            </w:pPr>
            <w:r>
              <w:rPr>
                <w:b/>
                <w:bCs/>
              </w:rPr>
              <w:t>-2,4</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4,2</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-5,9</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5,7</w:t>
            </w: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w:t>
            </w: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rPr>
                <w:b/>
                <w:bCs/>
              </w:rPr>
            </w:pPr>
            <w:r>
              <w:rPr>
                <w:b/>
                <w:bCs/>
              </w:rPr>
              <w:t>-1,8</w:t>
            </w:r>
          </w:p>
        </w:tc>
        <w:tc>
          <w:tcPr>
            <w:tcW w:w="988" w:type="dxa"/>
            <w:tcBorders>
              <w:bottom w:val="nil"/>
            </w:tcBorders>
            <w:vAlign w:val="center"/>
          </w:tcPr>
          <w:p w:rsidR="00E13763" w:rsidRPr="006007C7" w:rsidRDefault="00E13763" w:rsidP="00434618">
            <w:pPr>
              <w:spacing w:line="288" w:lineRule="auto"/>
              <w:ind w:right="77"/>
              <w:jc w:val="center"/>
              <w:rPr>
                <w:b/>
                <w:bCs/>
              </w:rPr>
            </w:pPr>
            <w:r>
              <w:rPr>
                <w:b/>
                <w:bCs/>
              </w:rPr>
              <w:t>2,9</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Ara malı ithalatı</w:t>
            </w:r>
          </w:p>
        </w:tc>
        <w:tc>
          <w:tcPr>
            <w:tcW w:w="977" w:type="dxa"/>
            <w:tcBorders>
              <w:top w:val="nil"/>
              <w:bottom w:val="nil"/>
            </w:tcBorders>
            <w:vAlign w:val="center"/>
          </w:tcPr>
          <w:p w:rsidR="00E13763" w:rsidRPr="006007C7" w:rsidRDefault="00E13763" w:rsidP="00434618">
            <w:pPr>
              <w:spacing w:line="288" w:lineRule="auto"/>
              <w:ind w:right="77"/>
              <w:jc w:val="center"/>
            </w:pPr>
            <w:r>
              <w:t>3,4</w:t>
            </w:r>
          </w:p>
        </w:tc>
        <w:tc>
          <w:tcPr>
            <w:tcW w:w="978" w:type="dxa"/>
            <w:tcBorders>
              <w:top w:val="nil"/>
              <w:bottom w:val="nil"/>
            </w:tcBorders>
            <w:vAlign w:val="center"/>
          </w:tcPr>
          <w:p w:rsidR="00E13763" w:rsidRPr="006007C7" w:rsidRDefault="00E13763" w:rsidP="00434618">
            <w:pPr>
              <w:spacing w:line="288" w:lineRule="auto"/>
              <w:ind w:right="77"/>
              <w:jc w:val="center"/>
            </w:pPr>
            <w:r>
              <w:t>5,2</w:t>
            </w:r>
          </w:p>
        </w:tc>
        <w:tc>
          <w:tcPr>
            <w:tcW w:w="978" w:type="dxa"/>
            <w:tcBorders>
              <w:top w:val="nil"/>
              <w:bottom w:val="nil"/>
            </w:tcBorders>
            <w:vAlign w:val="center"/>
          </w:tcPr>
          <w:p w:rsidR="00E13763" w:rsidRPr="006007C7" w:rsidRDefault="00E13763" w:rsidP="00434618">
            <w:pPr>
              <w:spacing w:line="288" w:lineRule="auto"/>
              <w:ind w:right="77"/>
              <w:jc w:val="center"/>
            </w:pPr>
            <w:r>
              <w:t>-11,9</w:t>
            </w:r>
          </w:p>
        </w:tc>
        <w:tc>
          <w:tcPr>
            <w:tcW w:w="978" w:type="dxa"/>
            <w:tcBorders>
              <w:top w:val="nil"/>
              <w:bottom w:val="nil"/>
            </w:tcBorders>
            <w:vAlign w:val="center"/>
          </w:tcPr>
          <w:p w:rsidR="00E13763" w:rsidRPr="006007C7" w:rsidRDefault="00E13763" w:rsidP="00434618">
            <w:pPr>
              <w:spacing w:line="288" w:lineRule="auto"/>
              <w:ind w:right="77"/>
              <w:jc w:val="center"/>
            </w:pPr>
            <w:r>
              <w:t>11,1</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-0,8</w:t>
            </w:r>
          </w:p>
        </w:tc>
        <w:tc>
          <w:tcPr>
            <w:tcW w:w="988" w:type="dxa"/>
            <w:tcBorders>
              <w:top w:val="nil"/>
              <w:bottom w:val="nil"/>
            </w:tcBorders>
            <w:vAlign w:val="center"/>
          </w:tcPr>
          <w:p w:rsidR="00E13763" w:rsidRPr="006007C7" w:rsidRDefault="00E13763" w:rsidP="00434618">
            <w:pPr>
              <w:spacing w:line="288" w:lineRule="auto"/>
              <w:ind w:right="77"/>
              <w:jc w:val="center"/>
            </w:pPr>
            <w:r>
              <w:t>3,7</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Tüketim malı ithalatı</w:t>
            </w:r>
          </w:p>
        </w:tc>
        <w:tc>
          <w:tcPr>
            <w:tcW w:w="977" w:type="dxa"/>
            <w:tcBorders>
              <w:top w:val="nil"/>
              <w:bottom w:val="nil"/>
            </w:tcBorders>
            <w:vAlign w:val="center"/>
          </w:tcPr>
          <w:p w:rsidR="00E13763" w:rsidRPr="006007C7" w:rsidRDefault="00E13763" w:rsidP="00434618">
            <w:pPr>
              <w:spacing w:line="288" w:lineRule="auto"/>
              <w:ind w:right="77"/>
              <w:jc w:val="center"/>
            </w:pPr>
            <w:r>
              <w:t>6,0</w:t>
            </w:r>
          </w:p>
        </w:tc>
        <w:tc>
          <w:tcPr>
            <w:tcW w:w="978" w:type="dxa"/>
            <w:tcBorders>
              <w:top w:val="nil"/>
              <w:bottom w:val="nil"/>
            </w:tcBorders>
            <w:vAlign w:val="center"/>
          </w:tcPr>
          <w:p w:rsidR="00E13763" w:rsidRPr="006007C7" w:rsidRDefault="00E13763" w:rsidP="00434618">
            <w:pPr>
              <w:spacing w:line="288" w:lineRule="auto"/>
              <w:ind w:right="77"/>
              <w:jc w:val="center"/>
            </w:pPr>
            <w:r>
              <w:t>5,4</w:t>
            </w:r>
          </w:p>
        </w:tc>
        <w:tc>
          <w:tcPr>
            <w:tcW w:w="978" w:type="dxa"/>
            <w:tcBorders>
              <w:top w:val="nil"/>
              <w:bottom w:val="nil"/>
            </w:tcBorders>
            <w:vAlign w:val="center"/>
          </w:tcPr>
          <w:p w:rsidR="00E13763" w:rsidRPr="006007C7" w:rsidRDefault="00E13763" w:rsidP="00434618">
            <w:pPr>
              <w:spacing w:line="288" w:lineRule="auto"/>
              <w:ind w:right="77"/>
              <w:jc w:val="center"/>
            </w:pPr>
            <w:r>
              <w:t>-17,4</w:t>
            </w:r>
          </w:p>
        </w:tc>
        <w:tc>
          <w:tcPr>
            <w:tcW w:w="978" w:type="dxa"/>
            <w:tcBorders>
              <w:top w:val="nil"/>
              <w:bottom w:val="nil"/>
            </w:tcBorders>
            <w:vAlign w:val="center"/>
          </w:tcPr>
          <w:p w:rsidR="00E13763" w:rsidRPr="006007C7" w:rsidRDefault="00E13763" w:rsidP="00434618">
            <w:pPr>
              <w:spacing w:line="288" w:lineRule="auto"/>
              <w:ind w:right="77"/>
              <w:jc w:val="center"/>
            </w:pPr>
            <w:r>
              <w:t>8,3</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2,5</w:t>
            </w:r>
          </w:p>
        </w:tc>
        <w:tc>
          <w:tcPr>
            <w:tcW w:w="988" w:type="dxa"/>
            <w:tcBorders>
              <w:top w:val="nil"/>
              <w:bottom w:val="nil"/>
            </w:tcBorders>
            <w:vAlign w:val="center"/>
          </w:tcPr>
          <w:p w:rsidR="00E13763" w:rsidRPr="006007C7" w:rsidRDefault="00E13763" w:rsidP="00434618">
            <w:pPr>
              <w:spacing w:line="288" w:lineRule="auto"/>
              <w:ind w:right="77"/>
              <w:jc w:val="center"/>
            </w:pPr>
            <w:r>
              <w:t>-3,3</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Yatırım malı ithalatı</w:t>
            </w:r>
          </w:p>
        </w:tc>
        <w:tc>
          <w:tcPr>
            <w:tcW w:w="977" w:type="dxa"/>
            <w:tcBorders>
              <w:top w:val="nil"/>
            </w:tcBorders>
            <w:vAlign w:val="center"/>
          </w:tcPr>
          <w:p w:rsidR="00E13763" w:rsidRPr="006007C7" w:rsidRDefault="00E13763" w:rsidP="00434618">
            <w:pPr>
              <w:spacing w:line="288" w:lineRule="auto"/>
              <w:ind w:right="77"/>
              <w:jc w:val="center"/>
            </w:pPr>
            <w:r>
              <w:t>10,1</w:t>
            </w:r>
          </w:p>
        </w:tc>
        <w:tc>
          <w:tcPr>
            <w:tcW w:w="978" w:type="dxa"/>
            <w:tcBorders>
              <w:top w:val="nil"/>
            </w:tcBorders>
            <w:vAlign w:val="center"/>
          </w:tcPr>
          <w:p w:rsidR="00E13763" w:rsidRPr="006007C7" w:rsidRDefault="00E13763" w:rsidP="00434618">
            <w:pPr>
              <w:spacing w:line="288" w:lineRule="auto"/>
              <w:ind w:right="77"/>
              <w:jc w:val="center"/>
            </w:pPr>
            <w:r>
              <w:t>4,5</w:t>
            </w:r>
          </w:p>
        </w:tc>
        <w:tc>
          <w:tcPr>
            <w:tcW w:w="978" w:type="dxa"/>
            <w:tcBorders>
              <w:top w:val="nil"/>
            </w:tcBorders>
            <w:vAlign w:val="center"/>
          </w:tcPr>
          <w:p w:rsidR="00E13763" w:rsidRPr="006007C7" w:rsidRDefault="00E13763" w:rsidP="00434618">
            <w:pPr>
              <w:spacing w:line="288" w:lineRule="auto"/>
              <w:ind w:right="77"/>
              <w:jc w:val="center"/>
            </w:pPr>
            <w:r>
              <w:t>-17,1</w:t>
            </w:r>
          </w:p>
        </w:tc>
        <w:tc>
          <w:tcPr>
            <w:tcW w:w="978" w:type="dxa"/>
            <w:tcBorders>
              <w:top w:val="nil"/>
            </w:tcBorders>
            <w:vAlign w:val="center"/>
          </w:tcPr>
          <w:p w:rsidR="00E13763" w:rsidRPr="006007C7" w:rsidRDefault="00E13763" w:rsidP="00434618">
            <w:pPr>
              <w:spacing w:line="288" w:lineRule="auto"/>
              <w:ind w:right="77"/>
              <w:jc w:val="center"/>
            </w:pPr>
            <w:r>
              <w:t>27,0</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6,8</w:t>
            </w:r>
          </w:p>
        </w:tc>
        <w:tc>
          <w:tcPr>
            <w:tcW w:w="988" w:type="dxa"/>
            <w:tcBorders>
              <w:top w:val="nil"/>
            </w:tcBorders>
            <w:vAlign w:val="center"/>
          </w:tcPr>
          <w:p w:rsidR="00E13763" w:rsidRPr="006007C7" w:rsidRDefault="00E13763" w:rsidP="00434618">
            <w:pPr>
              <w:spacing w:line="288" w:lineRule="auto"/>
              <w:ind w:right="77"/>
              <w:jc w:val="center"/>
            </w:pPr>
            <w:r>
              <w:t>13,4</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rPr>
                <w:b/>
                <w:bCs/>
              </w:rPr>
            </w:pPr>
            <w:r w:rsidRPr="006007C7">
              <w:rPr>
                <w:b/>
                <w:bCs/>
                <w:sz w:val="22"/>
                <w:szCs w:val="22"/>
              </w:rPr>
              <w:t>Altın hariç İhracat*</w:t>
            </w:r>
          </w:p>
        </w:tc>
        <w:tc>
          <w:tcPr>
            <w:tcW w:w="977" w:type="dxa"/>
            <w:tcBorders>
              <w:top w:val="nil"/>
            </w:tcBorders>
            <w:vAlign w:val="center"/>
          </w:tcPr>
          <w:p w:rsidR="00E13763" w:rsidRPr="006007C7" w:rsidRDefault="00E13763" w:rsidP="00434618">
            <w:pPr>
              <w:spacing w:line="288" w:lineRule="auto"/>
              <w:ind w:right="77"/>
              <w:jc w:val="center"/>
              <w:rPr>
                <w:b/>
                <w:bCs/>
              </w:rPr>
            </w:pPr>
            <w:r>
              <w:rPr>
                <w:b/>
                <w:bCs/>
              </w:rPr>
              <w:t>2,5</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4,7</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-7,8</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5,3</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rPr>
                <w:b/>
                <w:bCs/>
              </w:rPr>
            </w:pPr>
            <w:r>
              <w:rPr>
                <w:b/>
                <w:bCs/>
              </w:rPr>
              <w:t>3,6</w:t>
            </w:r>
          </w:p>
        </w:tc>
        <w:tc>
          <w:tcPr>
            <w:tcW w:w="988" w:type="dxa"/>
            <w:tcBorders>
              <w:top w:val="nil"/>
            </w:tcBorders>
            <w:vAlign w:val="center"/>
          </w:tcPr>
          <w:p w:rsidR="00E13763" w:rsidRPr="006007C7" w:rsidRDefault="00E13763" w:rsidP="00434618">
            <w:pPr>
              <w:spacing w:line="288" w:lineRule="auto"/>
              <w:ind w:right="77"/>
              <w:jc w:val="center"/>
              <w:rPr>
                <w:b/>
                <w:bCs/>
              </w:rPr>
            </w:pPr>
            <w:r>
              <w:rPr>
                <w:b/>
                <w:bCs/>
              </w:rPr>
              <w:t>1,2</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rPr>
                <w:b/>
                <w:bCs/>
              </w:rPr>
            </w:pPr>
            <w:r w:rsidRPr="006007C7">
              <w:rPr>
                <w:b/>
                <w:bCs/>
                <w:sz w:val="22"/>
                <w:szCs w:val="22"/>
              </w:rPr>
              <w:t>Altın hariç İthalat *</w:t>
            </w:r>
          </w:p>
        </w:tc>
        <w:tc>
          <w:tcPr>
            <w:tcW w:w="977" w:type="dxa"/>
            <w:tcBorders>
              <w:top w:val="nil"/>
            </w:tcBorders>
            <w:vAlign w:val="center"/>
          </w:tcPr>
          <w:p w:rsidR="00E13763" w:rsidRPr="006007C7" w:rsidRDefault="00E13763" w:rsidP="00434618">
            <w:pPr>
              <w:spacing w:line="288" w:lineRule="auto"/>
              <w:ind w:right="77"/>
              <w:jc w:val="center"/>
              <w:rPr>
                <w:b/>
                <w:bCs/>
              </w:rPr>
            </w:pPr>
            <w:r>
              <w:rPr>
                <w:b/>
                <w:bCs/>
              </w:rPr>
              <w:t>1,2</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4,1</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-11,6</w:t>
            </w:r>
          </w:p>
        </w:tc>
        <w:tc>
          <w:tcPr>
            <w:tcW w:w="978" w:type="dxa"/>
            <w:tcBorders>
              <w:top w:val="nil"/>
            </w:tcBorders>
            <w:vAlign w:val="center"/>
          </w:tcPr>
          <w:p w:rsidR="00E13763" w:rsidRPr="006007C7" w:rsidRDefault="00E13763" w:rsidP="00434618">
            <w:pPr>
              <w:spacing w:line="288" w:lineRule="auto"/>
              <w:ind w:right="77"/>
              <w:jc w:val="center"/>
              <w:rPr>
                <w:b/>
                <w:bCs/>
              </w:rPr>
            </w:pPr>
            <w:r>
              <w:rPr>
                <w:b/>
                <w:bCs/>
              </w:rPr>
              <w:t>10,3</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rPr>
                <w:b/>
                <w:bCs/>
              </w:rPr>
            </w:pPr>
            <w:r>
              <w:rPr>
                <w:b/>
                <w:bCs/>
              </w:rPr>
              <w:t>0,6</w:t>
            </w:r>
          </w:p>
        </w:tc>
        <w:tc>
          <w:tcPr>
            <w:tcW w:w="988" w:type="dxa"/>
            <w:tcBorders>
              <w:top w:val="nil"/>
            </w:tcBorders>
            <w:vAlign w:val="center"/>
          </w:tcPr>
          <w:p w:rsidR="00E13763" w:rsidRPr="006007C7" w:rsidRDefault="00E13763" w:rsidP="00434618">
            <w:pPr>
              <w:spacing w:line="288" w:lineRule="auto"/>
              <w:ind w:right="77"/>
              <w:jc w:val="center"/>
              <w:rPr>
                <w:b/>
                <w:bCs/>
              </w:rPr>
            </w:pPr>
            <w:r>
              <w:rPr>
                <w:b/>
                <w:bCs/>
              </w:rPr>
              <w:t>2,8</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Sanayi Üretim Endeksi (SÜE)</w:t>
            </w:r>
          </w:p>
        </w:tc>
        <w:tc>
          <w:tcPr>
            <w:tcW w:w="977" w:type="dxa"/>
            <w:tcBorders>
              <w:bottom w:val="nil"/>
            </w:tcBorders>
            <w:vAlign w:val="center"/>
          </w:tcPr>
          <w:p w:rsidR="00E13763" w:rsidRPr="006007C7" w:rsidRDefault="00E13763" w:rsidP="00434618">
            <w:pPr>
              <w:spacing w:line="288" w:lineRule="auto"/>
              <w:ind w:right="77"/>
              <w:jc w:val="center"/>
              <w:rPr>
                <w:b/>
                <w:bCs/>
              </w:rPr>
            </w:pPr>
            <w:r>
              <w:rPr>
                <w:b/>
                <w:bCs/>
              </w:rPr>
              <w:t>0,1</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0,9</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-3,5</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2,3</w:t>
            </w: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w:t>
            </w: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rPr>
                <w:b/>
                <w:bCs/>
              </w:rPr>
            </w:pPr>
            <w:r>
              <w:rPr>
                <w:b/>
                <w:bCs/>
              </w:rPr>
              <w:t>0,7</w:t>
            </w:r>
          </w:p>
        </w:tc>
        <w:tc>
          <w:tcPr>
            <w:tcW w:w="988" w:type="dxa"/>
            <w:tcBorders>
              <w:bottom w:val="nil"/>
            </w:tcBorders>
            <w:vAlign w:val="center"/>
          </w:tcPr>
          <w:p w:rsidR="00E13763" w:rsidRPr="006007C7" w:rsidRDefault="00E13763" w:rsidP="00434618">
            <w:pPr>
              <w:spacing w:line="288" w:lineRule="auto"/>
              <w:ind w:right="77"/>
              <w:jc w:val="center"/>
              <w:rPr>
                <w:b/>
                <w:bCs/>
              </w:rPr>
            </w:pPr>
            <w:r>
              <w:rPr>
                <w:b/>
                <w:bCs/>
              </w:rPr>
              <w:t>0,2</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Dayanıksız tüketim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-2,1</w:t>
            </w:r>
          </w:p>
        </w:tc>
        <w:tc>
          <w:tcPr>
            <w:tcW w:w="978" w:type="dxa"/>
            <w:tcBorders>
              <w:top w:val="nil"/>
              <w:bottom w:val="nil"/>
            </w:tcBorders>
            <w:vAlign w:val="center"/>
          </w:tcPr>
          <w:p w:rsidR="00E13763" w:rsidRPr="006007C7" w:rsidRDefault="00E13763" w:rsidP="00434618">
            <w:pPr>
              <w:spacing w:line="288" w:lineRule="auto"/>
              <w:ind w:right="77"/>
              <w:jc w:val="center"/>
            </w:pPr>
            <w:r>
              <w:t>0,0</w:t>
            </w:r>
          </w:p>
        </w:tc>
        <w:tc>
          <w:tcPr>
            <w:tcW w:w="978" w:type="dxa"/>
            <w:tcBorders>
              <w:top w:val="nil"/>
              <w:bottom w:val="nil"/>
            </w:tcBorders>
            <w:vAlign w:val="center"/>
          </w:tcPr>
          <w:p w:rsidR="00E13763" w:rsidRPr="006007C7" w:rsidRDefault="00E13763" w:rsidP="00434618">
            <w:pPr>
              <w:spacing w:line="288" w:lineRule="auto"/>
              <w:ind w:right="77"/>
              <w:jc w:val="center"/>
            </w:pPr>
            <w:r>
              <w:t>-0,3</w:t>
            </w:r>
          </w:p>
        </w:tc>
        <w:tc>
          <w:tcPr>
            <w:tcW w:w="978" w:type="dxa"/>
            <w:tcBorders>
              <w:top w:val="nil"/>
              <w:bottom w:val="nil"/>
            </w:tcBorders>
            <w:vAlign w:val="center"/>
          </w:tcPr>
          <w:p w:rsidR="00E13763" w:rsidRPr="006007C7" w:rsidRDefault="00E13763" w:rsidP="00434618">
            <w:pPr>
              <w:spacing w:line="288" w:lineRule="auto"/>
              <w:ind w:right="77"/>
              <w:jc w:val="center"/>
            </w:pPr>
            <w:r>
              <w:t>2,0</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-0,3</w:t>
            </w:r>
          </w:p>
        </w:tc>
        <w:tc>
          <w:tcPr>
            <w:tcW w:w="988" w:type="dxa"/>
            <w:tcBorders>
              <w:top w:val="nil"/>
              <w:bottom w:val="nil"/>
            </w:tcBorders>
            <w:vAlign w:val="center"/>
          </w:tcPr>
          <w:p w:rsidR="00E13763" w:rsidRPr="006007C7" w:rsidRDefault="00E13763" w:rsidP="00434618">
            <w:pPr>
              <w:spacing w:line="288" w:lineRule="auto"/>
              <w:ind w:right="77"/>
              <w:jc w:val="center"/>
            </w:pPr>
            <w:r>
              <w:t>1,8</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Dayanıklı tüketim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-7,5</w:t>
            </w:r>
          </w:p>
        </w:tc>
        <w:tc>
          <w:tcPr>
            <w:tcW w:w="978" w:type="dxa"/>
            <w:tcBorders>
              <w:top w:val="nil"/>
              <w:bottom w:val="nil"/>
            </w:tcBorders>
            <w:vAlign w:val="center"/>
          </w:tcPr>
          <w:p w:rsidR="00E13763" w:rsidRPr="006007C7" w:rsidRDefault="00E13763" w:rsidP="00434618">
            <w:pPr>
              <w:spacing w:line="288" w:lineRule="auto"/>
              <w:ind w:right="77"/>
              <w:jc w:val="center"/>
            </w:pPr>
            <w:r>
              <w:t>7,1</w:t>
            </w:r>
          </w:p>
        </w:tc>
        <w:tc>
          <w:tcPr>
            <w:tcW w:w="978" w:type="dxa"/>
            <w:tcBorders>
              <w:top w:val="nil"/>
              <w:bottom w:val="nil"/>
            </w:tcBorders>
            <w:vAlign w:val="center"/>
          </w:tcPr>
          <w:p w:rsidR="00E13763" w:rsidRPr="006007C7" w:rsidRDefault="00E13763" w:rsidP="00434618">
            <w:pPr>
              <w:spacing w:line="288" w:lineRule="auto"/>
              <w:ind w:right="77"/>
              <w:jc w:val="center"/>
            </w:pPr>
            <w:r>
              <w:t>-9,3</w:t>
            </w:r>
          </w:p>
        </w:tc>
        <w:tc>
          <w:tcPr>
            <w:tcW w:w="978" w:type="dxa"/>
            <w:tcBorders>
              <w:top w:val="nil"/>
              <w:bottom w:val="nil"/>
            </w:tcBorders>
            <w:vAlign w:val="center"/>
          </w:tcPr>
          <w:p w:rsidR="00E13763" w:rsidRPr="006007C7" w:rsidRDefault="00E13763" w:rsidP="00434618">
            <w:pPr>
              <w:spacing w:line="288" w:lineRule="auto"/>
              <w:ind w:right="77"/>
              <w:jc w:val="center"/>
            </w:pPr>
            <w:r>
              <w:t>-0,6</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-0,9</w:t>
            </w:r>
          </w:p>
        </w:tc>
        <w:tc>
          <w:tcPr>
            <w:tcW w:w="988" w:type="dxa"/>
            <w:tcBorders>
              <w:top w:val="nil"/>
              <w:bottom w:val="nil"/>
            </w:tcBorders>
            <w:vAlign w:val="center"/>
          </w:tcPr>
          <w:p w:rsidR="00E13763" w:rsidRPr="006007C7" w:rsidRDefault="00E13763" w:rsidP="00434618">
            <w:pPr>
              <w:spacing w:line="288" w:lineRule="auto"/>
              <w:ind w:right="77"/>
              <w:jc w:val="center"/>
            </w:pPr>
            <w:r>
              <w:t>-4,8</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Ara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1,4</w:t>
            </w:r>
          </w:p>
        </w:tc>
        <w:tc>
          <w:tcPr>
            <w:tcW w:w="978" w:type="dxa"/>
            <w:tcBorders>
              <w:top w:val="nil"/>
              <w:bottom w:val="nil"/>
            </w:tcBorders>
            <w:vAlign w:val="center"/>
          </w:tcPr>
          <w:p w:rsidR="00E13763" w:rsidRPr="006007C7" w:rsidRDefault="00E13763" w:rsidP="00434618">
            <w:pPr>
              <w:spacing w:line="288" w:lineRule="auto"/>
              <w:ind w:right="77"/>
              <w:jc w:val="center"/>
            </w:pPr>
            <w:r>
              <w:t>2,7</w:t>
            </w:r>
          </w:p>
        </w:tc>
        <w:tc>
          <w:tcPr>
            <w:tcW w:w="978" w:type="dxa"/>
            <w:tcBorders>
              <w:top w:val="nil"/>
              <w:bottom w:val="nil"/>
            </w:tcBorders>
            <w:vAlign w:val="center"/>
          </w:tcPr>
          <w:p w:rsidR="00E13763" w:rsidRPr="006007C7" w:rsidRDefault="00E13763" w:rsidP="00434618">
            <w:pPr>
              <w:spacing w:line="288" w:lineRule="auto"/>
              <w:ind w:right="77"/>
              <w:jc w:val="center"/>
            </w:pPr>
            <w:r>
              <w:t>-6,2</w:t>
            </w:r>
          </w:p>
        </w:tc>
        <w:tc>
          <w:tcPr>
            <w:tcW w:w="978" w:type="dxa"/>
            <w:tcBorders>
              <w:top w:val="nil"/>
              <w:bottom w:val="nil"/>
            </w:tcBorders>
            <w:vAlign w:val="center"/>
          </w:tcPr>
          <w:p w:rsidR="00E13763" w:rsidRPr="006007C7" w:rsidRDefault="00E13763" w:rsidP="00434618">
            <w:pPr>
              <w:spacing w:line="288" w:lineRule="auto"/>
              <w:ind w:right="77"/>
              <w:jc w:val="center"/>
            </w:pPr>
            <w:r>
              <w:t>3,3</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2,4</w:t>
            </w:r>
          </w:p>
        </w:tc>
        <w:tc>
          <w:tcPr>
            <w:tcW w:w="988" w:type="dxa"/>
            <w:tcBorders>
              <w:top w:val="nil"/>
              <w:bottom w:val="nil"/>
            </w:tcBorders>
            <w:vAlign w:val="center"/>
          </w:tcPr>
          <w:p w:rsidR="00E13763" w:rsidRPr="006007C7" w:rsidRDefault="00E13763" w:rsidP="00434618">
            <w:pPr>
              <w:spacing w:line="288" w:lineRule="auto"/>
              <w:ind w:right="77"/>
              <w:jc w:val="center"/>
            </w:pPr>
            <w:r>
              <w:t>-0,1</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Yatırım malı imalatı</w:t>
            </w:r>
          </w:p>
        </w:tc>
        <w:tc>
          <w:tcPr>
            <w:tcW w:w="977" w:type="dxa"/>
            <w:tcBorders>
              <w:top w:val="nil"/>
            </w:tcBorders>
            <w:vAlign w:val="center"/>
          </w:tcPr>
          <w:p w:rsidR="00E13763" w:rsidRPr="006007C7" w:rsidRDefault="00E13763" w:rsidP="00434618">
            <w:pPr>
              <w:spacing w:line="288" w:lineRule="auto"/>
              <w:ind w:right="77"/>
              <w:jc w:val="center"/>
            </w:pPr>
            <w:r>
              <w:t>3,7</w:t>
            </w:r>
          </w:p>
        </w:tc>
        <w:tc>
          <w:tcPr>
            <w:tcW w:w="978" w:type="dxa"/>
            <w:tcBorders>
              <w:top w:val="nil"/>
            </w:tcBorders>
            <w:vAlign w:val="center"/>
          </w:tcPr>
          <w:p w:rsidR="00E13763" w:rsidRPr="006007C7" w:rsidRDefault="00E13763" w:rsidP="00434618">
            <w:pPr>
              <w:spacing w:line="288" w:lineRule="auto"/>
              <w:ind w:right="77"/>
              <w:jc w:val="center"/>
            </w:pPr>
            <w:r>
              <w:t>-1,0</w:t>
            </w:r>
          </w:p>
        </w:tc>
        <w:tc>
          <w:tcPr>
            <w:tcW w:w="978" w:type="dxa"/>
            <w:tcBorders>
              <w:top w:val="nil"/>
            </w:tcBorders>
            <w:vAlign w:val="center"/>
          </w:tcPr>
          <w:p w:rsidR="00E13763" w:rsidRPr="006007C7" w:rsidRDefault="00E13763" w:rsidP="00434618">
            <w:pPr>
              <w:spacing w:line="288" w:lineRule="auto"/>
              <w:ind w:right="77"/>
              <w:jc w:val="center"/>
            </w:pPr>
            <w:r>
              <w:t>-2,2</w:t>
            </w:r>
          </w:p>
        </w:tc>
        <w:tc>
          <w:tcPr>
            <w:tcW w:w="978" w:type="dxa"/>
            <w:tcBorders>
              <w:top w:val="nil"/>
            </w:tcBorders>
            <w:vAlign w:val="center"/>
          </w:tcPr>
          <w:p w:rsidR="00E13763" w:rsidRPr="006007C7" w:rsidRDefault="00E13763" w:rsidP="00434618">
            <w:pPr>
              <w:spacing w:line="288" w:lineRule="auto"/>
              <w:ind w:right="77"/>
              <w:jc w:val="center"/>
            </w:pPr>
            <w:r>
              <w:t>2,0</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2,4</w:t>
            </w:r>
          </w:p>
        </w:tc>
        <w:tc>
          <w:tcPr>
            <w:tcW w:w="988" w:type="dxa"/>
            <w:tcBorders>
              <w:top w:val="nil"/>
            </w:tcBorders>
            <w:vAlign w:val="center"/>
          </w:tcPr>
          <w:p w:rsidR="00E13763" w:rsidRPr="006007C7" w:rsidRDefault="00E13763" w:rsidP="00434618">
            <w:pPr>
              <w:spacing w:line="288" w:lineRule="auto"/>
              <w:ind w:right="77"/>
              <w:jc w:val="center"/>
            </w:pPr>
            <w:r>
              <w:t>0,2</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Kapasite Kullanım Oranı (KKO)</w:t>
            </w:r>
          </w:p>
        </w:tc>
        <w:tc>
          <w:tcPr>
            <w:tcW w:w="977" w:type="dxa"/>
            <w:tcBorders>
              <w:bottom w:val="nil"/>
            </w:tcBorders>
            <w:vAlign w:val="center"/>
          </w:tcPr>
          <w:p w:rsidR="00E13763" w:rsidRPr="006007C7" w:rsidRDefault="00E13763" w:rsidP="00434618">
            <w:pPr>
              <w:spacing w:line="288" w:lineRule="auto"/>
              <w:ind w:right="77"/>
              <w:jc w:val="center"/>
              <w:rPr>
                <w:b/>
                <w:bCs/>
              </w:rPr>
            </w:pPr>
            <w:r>
              <w:rPr>
                <w:b/>
                <w:bCs/>
              </w:rPr>
              <w:t>0,7</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-0,9</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0,3</w:t>
            </w:r>
          </w:p>
        </w:tc>
        <w:tc>
          <w:tcPr>
            <w:tcW w:w="978" w:type="dxa"/>
            <w:tcBorders>
              <w:bottom w:val="nil"/>
            </w:tcBorders>
            <w:vAlign w:val="center"/>
          </w:tcPr>
          <w:p w:rsidR="00E13763" w:rsidRPr="006007C7" w:rsidRDefault="00E13763" w:rsidP="00434618">
            <w:pPr>
              <w:spacing w:line="288" w:lineRule="auto"/>
              <w:ind w:right="77"/>
              <w:jc w:val="center"/>
              <w:rPr>
                <w:b/>
                <w:bCs/>
              </w:rPr>
            </w:pPr>
            <w:r>
              <w:rPr>
                <w:b/>
                <w:bCs/>
              </w:rPr>
              <w:t>-0,5</w:t>
            </w: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rPr>
                <w:b/>
                <w:bCs/>
              </w:rPr>
            </w:pPr>
            <w:r>
              <w:rPr>
                <w:b/>
                <w:bCs/>
              </w:rPr>
              <w:t>0,2</w:t>
            </w: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rPr>
                <w:b/>
                <w:bCs/>
              </w:rPr>
            </w:pPr>
            <w:r>
              <w:rPr>
                <w:b/>
                <w:bCs/>
              </w:rPr>
              <w:t>-0,2</w:t>
            </w:r>
          </w:p>
        </w:tc>
        <w:tc>
          <w:tcPr>
            <w:tcW w:w="988" w:type="dxa"/>
            <w:tcBorders>
              <w:bottom w:val="nil"/>
            </w:tcBorders>
            <w:vAlign w:val="center"/>
          </w:tcPr>
          <w:p w:rsidR="00E13763" w:rsidRPr="006007C7" w:rsidRDefault="00E13763" w:rsidP="00434618">
            <w:pPr>
              <w:spacing w:line="288" w:lineRule="auto"/>
              <w:ind w:right="77"/>
              <w:jc w:val="center"/>
              <w:rPr>
                <w:b/>
                <w:bCs/>
              </w:rPr>
            </w:pPr>
            <w:r>
              <w:rPr>
                <w:b/>
                <w:bCs/>
              </w:rPr>
              <w:t>-0,7</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Dayanıksız tüketim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0,3</w:t>
            </w:r>
          </w:p>
        </w:tc>
        <w:tc>
          <w:tcPr>
            <w:tcW w:w="978" w:type="dxa"/>
            <w:tcBorders>
              <w:top w:val="nil"/>
              <w:bottom w:val="nil"/>
            </w:tcBorders>
            <w:vAlign w:val="center"/>
          </w:tcPr>
          <w:p w:rsidR="00E13763" w:rsidRPr="006007C7" w:rsidRDefault="00E13763" w:rsidP="00434618">
            <w:pPr>
              <w:spacing w:line="288" w:lineRule="auto"/>
              <w:ind w:right="77"/>
              <w:jc w:val="center"/>
            </w:pPr>
            <w:r>
              <w:t>0,2</w:t>
            </w:r>
          </w:p>
        </w:tc>
        <w:tc>
          <w:tcPr>
            <w:tcW w:w="978" w:type="dxa"/>
            <w:tcBorders>
              <w:top w:val="nil"/>
              <w:bottom w:val="nil"/>
            </w:tcBorders>
            <w:vAlign w:val="center"/>
          </w:tcPr>
          <w:p w:rsidR="00E13763" w:rsidRPr="006007C7" w:rsidRDefault="00E13763" w:rsidP="00434618">
            <w:pPr>
              <w:spacing w:line="288" w:lineRule="auto"/>
              <w:ind w:right="77"/>
              <w:jc w:val="center"/>
            </w:pPr>
            <w:r>
              <w:t>0,1</w:t>
            </w:r>
          </w:p>
        </w:tc>
        <w:tc>
          <w:tcPr>
            <w:tcW w:w="978" w:type="dxa"/>
            <w:tcBorders>
              <w:top w:val="nil"/>
              <w:bottom w:val="nil"/>
            </w:tcBorders>
            <w:vAlign w:val="center"/>
          </w:tcPr>
          <w:p w:rsidR="00E13763" w:rsidRPr="006007C7" w:rsidRDefault="00E13763" w:rsidP="00434618">
            <w:pPr>
              <w:spacing w:line="288" w:lineRule="auto"/>
              <w:ind w:right="77"/>
              <w:jc w:val="center"/>
            </w:pPr>
            <w:r>
              <w:t>0,8</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0,6</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0,5</w:t>
            </w:r>
          </w:p>
        </w:tc>
        <w:tc>
          <w:tcPr>
            <w:tcW w:w="988" w:type="dxa"/>
            <w:tcBorders>
              <w:top w:val="nil"/>
              <w:bottom w:val="nil"/>
            </w:tcBorders>
            <w:vAlign w:val="center"/>
          </w:tcPr>
          <w:p w:rsidR="00E13763" w:rsidRPr="006007C7" w:rsidRDefault="00E13763" w:rsidP="00434618">
            <w:pPr>
              <w:spacing w:line="288" w:lineRule="auto"/>
              <w:ind w:right="77"/>
              <w:jc w:val="center"/>
            </w:pPr>
            <w:r>
              <w:t>1,7</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Dayanıklı tüketim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-0,9</w:t>
            </w:r>
          </w:p>
        </w:tc>
        <w:tc>
          <w:tcPr>
            <w:tcW w:w="978" w:type="dxa"/>
            <w:tcBorders>
              <w:top w:val="nil"/>
              <w:bottom w:val="nil"/>
            </w:tcBorders>
            <w:vAlign w:val="center"/>
          </w:tcPr>
          <w:p w:rsidR="00E13763" w:rsidRPr="006007C7" w:rsidRDefault="00E13763" w:rsidP="00434618">
            <w:pPr>
              <w:spacing w:line="288" w:lineRule="auto"/>
              <w:ind w:right="77"/>
              <w:jc w:val="center"/>
            </w:pPr>
            <w:r>
              <w:t>-1,3</w:t>
            </w:r>
          </w:p>
        </w:tc>
        <w:tc>
          <w:tcPr>
            <w:tcW w:w="978" w:type="dxa"/>
            <w:tcBorders>
              <w:top w:val="nil"/>
              <w:bottom w:val="nil"/>
            </w:tcBorders>
            <w:vAlign w:val="center"/>
          </w:tcPr>
          <w:p w:rsidR="00E13763" w:rsidRPr="006007C7" w:rsidRDefault="00E13763" w:rsidP="00434618">
            <w:pPr>
              <w:spacing w:line="288" w:lineRule="auto"/>
              <w:ind w:right="77"/>
              <w:jc w:val="center"/>
            </w:pPr>
            <w:r>
              <w:t>-0,2</w:t>
            </w:r>
          </w:p>
        </w:tc>
        <w:tc>
          <w:tcPr>
            <w:tcW w:w="978" w:type="dxa"/>
            <w:tcBorders>
              <w:top w:val="nil"/>
              <w:bottom w:val="nil"/>
            </w:tcBorders>
            <w:vAlign w:val="center"/>
          </w:tcPr>
          <w:p w:rsidR="00E13763" w:rsidRPr="006007C7" w:rsidRDefault="00E13763" w:rsidP="00434618">
            <w:pPr>
              <w:spacing w:line="288" w:lineRule="auto"/>
              <w:ind w:right="77"/>
              <w:jc w:val="center"/>
            </w:pPr>
            <w:r>
              <w:t>0,9</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-0,4</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-2,2</w:t>
            </w:r>
          </w:p>
        </w:tc>
        <w:tc>
          <w:tcPr>
            <w:tcW w:w="988" w:type="dxa"/>
            <w:tcBorders>
              <w:top w:val="nil"/>
              <w:bottom w:val="nil"/>
            </w:tcBorders>
            <w:vAlign w:val="center"/>
          </w:tcPr>
          <w:p w:rsidR="00E13763" w:rsidRPr="006007C7" w:rsidRDefault="00E13763" w:rsidP="00434618">
            <w:pPr>
              <w:spacing w:line="288" w:lineRule="auto"/>
              <w:ind w:right="77"/>
              <w:jc w:val="center"/>
            </w:pPr>
            <w:r>
              <w:t>0,3</w:t>
            </w: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Ara malı imalatı</w:t>
            </w:r>
          </w:p>
        </w:tc>
        <w:tc>
          <w:tcPr>
            <w:tcW w:w="977" w:type="dxa"/>
            <w:tcBorders>
              <w:top w:val="nil"/>
              <w:bottom w:val="nil"/>
            </w:tcBorders>
            <w:vAlign w:val="center"/>
          </w:tcPr>
          <w:p w:rsidR="00E13763" w:rsidRPr="006007C7" w:rsidRDefault="00E13763" w:rsidP="00434618">
            <w:pPr>
              <w:spacing w:line="288" w:lineRule="auto"/>
              <w:ind w:right="77"/>
              <w:jc w:val="center"/>
            </w:pPr>
            <w:r>
              <w:t>0,3</w:t>
            </w:r>
          </w:p>
        </w:tc>
        <w:tc>
          <w:tcPr>
            <w:tcW w:w="978" w:type="dxa"/>
            <w:tcBorders>
              <w:top w:val="nil"/>
              <w:bottom w:val="nil"/>
            </w:tcBorders>
            <w:vAlign w:val="center"/>
          </w:tcPr>
          <w:p w:rsidR="00E13763" w:rsidRPr="006007C7" w:rsidRDefault="00E13763" w:rsidP="00434618">
            <w:pPr>
              <w:spacing w:line="288" w:lineRule="auto"/>
              <w:ind w:right="77"/>
              <w:jc w:val="center"/>
            </w:pPr>
            <w:r>
              <w:t>-0,5</w:t>
            </w:r>
          </w:p>
        </w:tc>
        <w:tc>
          <w:tcPr>
            <w:tcW w:w="978" w:type="dxa"/>
            <w:tcBorders>
              <w:top w:val="nil"/>
              <w:bottom w:val="nil"/>
            </w:tcBorders>
            <w:vAlign w:val="center"/>
          </w:tcPr>
          <w:p w:rsidR="00E13763" w:rsidRPr="006007C7" w:rsidRDefault="00E13763" w:rsidP="00434618">
            <w:pPr>
              <w:spacing w:line="288" w:lineRule="auto"/>
              <w:ind w:right="77"/>
              <w:jc w:val="center"/>
            </w:pPr>
            <w:r>
              <w:t>1,6</w:t>
            </w:r>
          </w:p>
        </w:tc>
        <w:tc>
          <w:tcPr>
            <w:tcW w:w="978" w:type="dxa"/>
            <w:tcBorders>
              <w:top w:val="nil"/>
              <w:bottom w:val="nil"/>
            </w:tcBorders>
            <w:vAlign w:val="center"/>
          </w:tcPr>
          <w:p w:rsidR="00E13763" w:rsidRPr="006007C7" w:rsidRDefault="00E13763" w:rsidP="00434618">
            <w:pPr>
              <w:spacing w:line="288" w:lineRule="auto"/>
              <w:ind w:right="77"/>
              <w:jc w:val="center"/>
            </w:pPr>
            <w:r>
              <w:t>-1,5</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0,0</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0,1</w:t>
            </w:r>
          </w:p>
        </w:tc>
        <w:tc>
          <w:tcPr>
            <w:tcW w:w="988" w:type="dxa"/>
            <w:tcBorders>
              <w:top w:val="nil"/>
              <w:bottom w:val="nil"/>
            </w:tcBorders>
            <w:vAlign w:val="center"/>
          </w:tcPr>
          <w:p w:rsidR="00E13763" w:rsidRPr="006007C7" w:rsidRDefault="00E13763" w:rsidP="00434618">
            <w:pPr>
              <w:spacing w:line="288" w:lineRule="auto"/>
              <w:ind w:right="77"/>
              <w:jc w:val="center"/>
            </w:pPr>
            <w:r>
              <w:t>-0,9</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Yatırım malı imalatı</w:t>
            </w:r>
          </w:p>
        </w:tc>
        <w:tc>
          <w:tcPr>
            <w:tcW w:w="977" w:type="dxa"/>
            <w:tcBorders>
              <w:top w:val="nil"/>
            </w:tcBorders>
            <w:vAlign w:val="center"/>
          </w:tcPr>
          <w:p w:rsidR="00E13763" w:rsidRPr="006007C7" w:rsidRDefault="00E13763" w:rsidP="00434618">
            <w:pPr>
              <w:spacing w:line="288" w:lineRule="auto"/>
              <w:ind w:right="77"/>
              <w:jc w:val="center"/>
            </w:pPr>
            <w:r>
              <w:t>0,5</w:t>
            </w:r>
          </w:p>
        </w:tc>
        <w:tc>
          <w:tcPr>
            <w:tcW w:w="978" w:type="dxa"/>
            <w:tcBorders>
              <w:top w:val="nil"/>
            </w:tcBorders>
            <w:vAlign w:val="center"/>
          </w:tcPr>
          <w:p w:rsidR="00E13763" w:rsidRPr="006007C7" w:rsidRDefault="00E13763" w:rsidP="00434618">
            <w:pPr>
              <w:spacing w:line="288" w:lineRule="auto"/>
              <w:ind w:right="77"/>
              <w:jc w:val="center"/>
            </w:pPr>
            <w:r>
              <w:t>-0,3</w:t>
            </w:r>
          </w:p>
        </w:tc>
        <w:tc>
          <w:tcPr>
            <w:tcW w:w="978" w:type="dxa"/>
            <w:tcBorders>
              <w:top w:val="nil"/>
            </w:tcBorders>
            <w:vAlign w:val="center"/>
          </w:tcPr>
          <w:p w:rsidR="00E13763" w:rsidRPr="006007C7" w:rsidRDefault="00E13763" w:rsidP="00434618">
            <w:pPr>
              <w:spacing w:line="288" w:lineRule="auto"/>
              <w:ind w:right="77"/>
              <w:jc w:val="center"/>
            </w:pPr>
            <w:r>
              <w:t>2,2</w:t>
            </w:r>
          </w:p>
        </w:tc>
        <w:tc>
          <w:tcPr>
            <w:tcW w:w="978" w:type="dxa"/>
            <w:tcBorders>
              <w:top w:val="nil"/>
            </w:tcBorders>
            <w:vAlign w:val="center"/>
          </w:tcPr>
          <w:p w:rsidR="00E13763" w:rsidRPr="006007C7" w:rsidRDefault="00E13763" w:rsidP="00434618">
            <w:pPr>
              <w:spacing w:line="288" w:lineRule="auto"/>
              <w:ind w:right="77"/>
              <w:jc w:val="center"/>
            </w:pPr>
            <w:r>
              <w:t>-1,1</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1,1</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0,7</w:t>
            </w:r>
          </w:p>
        </w:tc>
        <w:tc>
          <w:tcPr>
            <w:tcW w:w="988" w:type="dxa"/>
            <w:tcBorders>
              <w:top w:val="nil"/>
            </w:tcBorders>
            <w:vAlign w:val="center"/>
          </w:tcPr>
          <w:p w:rsidR="00E13763" w:rsidRPr="006007C7" w:rsidRDefault="00E13763" w:rsidP="00434618">
            <w:pPr>
              <w:spacing w:line="288" w:lineRule="auto"/>
              <w:ind w:right="77"/>
              <w:jc w:val="center"/>
            </w:pPr>
            <w:r>
              <w:t>1,4</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Beklenti Göstergeleri</w:t>
            </w:r>
          </w:p>
        </w:tc>
        <w:tc>
          <w:tcPr>
            <w:tcW w:w="977"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pPr>
          </w:p>
        </w:tc>
        <w:tc>
          <w:tcPr>
            <w:tcW w:w="988" w:type="dxa"/>
            <w:tcBorders>
              <w:bottom w:val="nil"/>
            </w:tcBorders>
            <w:vAlign w:val="center"/>
          </w:tcPr>
          <w:p w:rsidR="00E13763" w:rsidRPr="006007C7" w:rsidRDefault="00E13763" w:rsidP="00434618">
            <w:pPr>
              <w:spacing w:line="288" w:lineRule="auto"/>
              <w:ind w:right="77"/>
              <w:jc w:val="center"/>
            </w:pP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Tüketici Güven E. (TUIK)</w:t>
            </w:r>
          </w:p>
        </w:tc>
        <w:tc>
          <w:tcPr>
            <w:tcW w:w="977" w:type="dxa"/>
            <w:tcBorders>
              <w:top w:val="nil"/>
              <w:bottom w:val="nil"/>
            </w:tcBorders>
            <w:vAlign w:val="center"/>
          </w:tcPr>
          <w:p w:rsidR="00E13763" w:rsidRPr="006007C7" w:rsidRDefault="00E13763" w:rsidP="00434618">
            <w:pPr>
              <w:spacing w:line="288" w:lineRule="auto"/>
              <w:ind w:right="77"/>
              <w:jc w:val="center"/>
            </w:pPr>
            <w:r>
              <w:t>-1,7</w:t>
            </w:r>
          </w:p>
        </w:tc>
        <w:tc>
          <w:tcPr>
            <w:tcW w:w="978" w:type="dxa"/>
            <w:tcBorders>
              <w:top w:val="nil"/>
              <w:bottom w:val="nil"/>
            </w:tcBorders>
            <w:vAlign w:val="center"/>
          </w:tcPr>
          <w:p w:rsidR="00E13763" w:rsidRPr="006007C7" w:rsidRDefault="00E13763" w:rsidP="00434618">
            <w:pPr>
              <w:spacing w:line="288" w:lineRule="auto"/>
              <w:ind w:right="77"/>
              <w:jc w:val="center"/>
            </w:pPr>
            <w:r>
              <w:t>4,3</w:t>
            </w:r>
          </w:p>
        </w:tc>
        <w:tc>
          <w:tcPr>
            <w:tcW w:w="978" w:type="dxa"/>
            <w:tcBorders>
              <w:top w:val="nil"/>
              <w:bottom w:val="nil"/>
            </w:tcBorders>
            <w:vAlign w:val="center"/>
          </w:tcPr>
          <w:p w:rsidR="00E13763" w:rsidRPr="006007C7" w:rsidRDefault="00E13763" w:rsidP="00434618">
            <w:pPr>
              <w:spacing w:line="288" w:lineRule="auto"/>
              <w:ind w:right="77"/>
              <w:jc w:val="center"/>
            </w:pPr>
            <w:r>
              <w:t>0,4</w:t>
            </w:r>
          </w:p>
        </w:tc>
        <w:tc>
          <w:tcPr>
            <w:tcW w:w="978" w:type="dxa"/>
            <w:tcBorders>
              <w:top w:val="nil"/>
              <w:bottom w:val="nil"/>
            </w:tcBorders>
            <w:vAlign w:val="center"/>
          </w:tcPr>
          <w:p w:rsidR="00E13763" w:rsidRPr="006007C7" w:rsidRDefault="00E13763" w:rsidP="00434618">
            <w:pPr>
              <w:spacing w:line="288" w:lineRule="auto"/>
              <w:ind w:right="77"/>
              <w:jc w:val="center"/>
            </w:pPr>
            <w:r>
              <w:t>1,6</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-0,1</w:t>
            </w:r>
          </w:p>
        </w:tc>
        <w:tc>
          <w:tcPr>
            <w:tcW w:w="987" w:type="dxa"/>
            <w:tcBorders>
              <w:top w:val="nil"/>
              <w:left w:val="double" w:sz="4" w:space="0" w:color="auto"/>
              <w:bottom w:val="nil"/>
            </w:tcBorders>
            <w:vAlign w:val="center"/>
          </w:tcPr>
          <w:p w:rsidR="00E13763" w:rsidRPr="006007C7" w:rsidRDefault="00E13763" w:rsidP="00434618">
            <w:pPr>
              <w:spacing w:line="288" w:lineRule="auto"/>
              <w:ind w:right="77"/>
              <w:jc w:val="center"/>
            </w:pPr>
            <w:r>
              <w:t>-1,6</w:t>
            </w:r>
          </w:p>
        </w:tc>
        <w:tc>
          <w:tcPr>
            <w:tcW w:w="988" w:type="dxa"/>
            <w:tcBorders>
              <w:top w:val="nil"/>
              <w:bottom w:val="nil"/>
            </w:tcBorders>
            <w:vAlign w:val="center"/>
          </w:tcPr>
          <w:p w:rsidR="00E13763" w:rsidRPr="006007C7" w:rsidRDefault="00E13763" w:rsidP="00434618">
            <w:pPr>
              <w:spacing w:line="288" w:lineRule="auto"/>
              <w:ind w:right="77"/>
              <w:jc w:val="center"/>
            </w:pPr>
            <w:r>
              <w:t>3,2</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Reel Kesim Güven E.</w:t>
            </w:r>
          </w:p>
        </w:tc>
        <w:tc>
          <w:tcPr>
            <w:tcW w:w="977" w:type="dxa"/>
            <w:tcBorders>
              <w:top w:val="nil"/>
            </w:tcBorders>
            <w:vAlign w:val="center"/>
          </w:tcPr>
          <w:p w:rsidR="00E13763" w:rsidRPr="006007C7" w:rsidRDefault="00E13763" w:rsidP="00434618">
            <w:pPr>
              <w:spacing w:line="288" w:lineRule="auto"/>
              <w:ind w:right="77"/>
              <w:jc w:val="center"/>
            </w:pPr>
            <w:r>
              <w:t>4,5</w:t>
            </w:r>
          </w:p>
        </w:tc>
        <w:tc>
          <w:tcPr>
            <w:tcW w:w="978" w:type="dxa"/>
            <w:tcBorders>
              <w:top w:val="nil"/>
            </w:tcBorders>
            <w:vAlign w:val="center"/>
          </w:tcPr>
          <w:p w:rsidR="00E13763" w:rsidRPr="006007C7" w:rsidRDefault="00E13763" w:rsidP="00434618">
            <w:pPr>
              <w:spacing w:line="288" w:lineRule="auto"/>
              <w:ind w:right="77"/>
              <w:jc w:val="center"/>
            </w:pPr>
            <w:r>
              <w:t>0,8</w:t>
            </w:r>
          </w:p>
        </w:tc>
        <w:tc>
          <w:tcPr>
            <w:tcW w:w="978" w:type="dxa"/>
            <w:tcBorders>
              <w:top w:val="nil"/>
            </w:tcBorders>
            <w:vAlign w:val="center"/>
          </w:tcPr>
          <w:p w:rsidR="00E13763" w:rsidRPr="006007C7" w:rsidRDefault="00E13763" w:rsidP="00434618">
            <w:pPr>
              <w:spacing w:line="288" w:lineRule="auto"/>
              <w:ind w:right="77"/>
              <w:jc w:val="center"/>
            </w:pPr>
            <w:r>
              <w:t>-1,0</w:t>
            </w:r>
          </w:p>
        </w:tc>
        <w:tc>
          <w:tcPr>
            <w:tcW w:w="978" w:type="dxa"/>
            <w:tcBorders>
              <w:top w:val="nil"/>
            </w:tcBorders>
            <w:vAlign w:val="center"/>
          </w:tcPr>
          <w:p w:rsidR="00E13763" w:rsidRPr="006007C7" w:rsidRDefault="00E13763" w:rsidP="00434618">
            <w:pPr>
              <w:spacing w:line="288" w:lineRule="auto"/>
              <w:ind w:right="77"/>
              <w:jc w:val="center"/>
            </w:pPr>
            <w:r>
              <w:t>-2,4</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3,0</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4,6</w:t>
            </w:r>
          </w:p>
        </w:tc>
        <w:tc>
          <w:tcPr>
            <w:tcW w:w="988" w:type="dxa"/>
            <w:tcBorders>
              <w:top w:val="nil"/>
            </w:tcBorders>
            <w:vAlign w:val="center"/>
          </w:tcPr>
          <w:p w:rsidR="00E13763" w:rsidRPr="006007C7" w:rsidRDefault="00E13763" w:rsidP="00434618">
            <w:pPr>
              <w:spacing w:line="288" w:lineRule="auto"/>
              <w:ind w:right="77"/>
              <w:jc w:val="center"/>
            </w:pPr>
            <w:r>
              <w:t>-1,4</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Finansal Göstergeler</w:t>
            </w:r>
          </w:p>
        </w:tc>
        <w:tc>
          <w:tcPr>
            <w:tcW w:w="977"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pPr>
          </w:p>
        </w:tc>
        <w:tc>
          <w:tcPr>
            <w:tcW w:w="988" w:type="dxa"/>
            <w:tcBorders>
              <w:bottom w:val="nil"/>
            </w:tcBorders>
            <w:vAlign w:val="center"/>
          </w:tcPr>
          <w:p w:rsidR="00E13763" w:rsidRPr="006007C7" w:rsidRDefault="00E13763" w:rsidP="00434618">
            <w:pPr>
              <w:spacing w:line="288" w:lineRule="auto"/>
              <w:ind w:right="77"/>
              <w:jc w:val="center"/>
            </w:pP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İMKB 100</w:t>
            </w:r>
          </w:p>
        </w:tc>
        <w:tc>
          <w:tcPr>
            <w:tcW w:w="977" w:type="dxa"/>
            <w:tcBorders>
              <w:top w:val="nil"/>
            </w:tcBorders>
            <w:vAlign w:val="center"/>
          </w:tcPr>
          <w:p w:rsidR="00E13763" w:rsidRPr="006007C7" w:rsidRDefault="00E13763" w:rsidP="00434618">
            <w:pPr>
              <w:spacing w:line="288" w:lineRule="auto"/>
              <w:ind w:right="77"/>
              <w:jc w:val="center"/>
            </w:pPr>
            <w:r>
              <w:t>0,3</w:t>
            </w:r>
          </w:p>
        </w:tc>
        <w:tc>
          <w:tcPr>
            <w:tcW w:w="978" w:type="dxa"/>
            <w:tcBorders>
              <w:top w:val="nil"/>
            </w:tcBorders>
            <w:vAlign w:val="center"/>
          </w:tcPr>
          <w:p w:rsidR="00E13763" w:rsidRPr="006007C7" w:rsidRDefault="00E13763" w:rsidP="00434618">
            <w:pPr>
              <w:spacing w:line="288" w:lineRule="auto"/>
              <w:ind w:right="77"/>
              <w:jc w:val="center"/>
            </w:pPr>
            <w:r>
              <w:t>5,4</w:t>
            </w:r>
          </w:p>
        </w:tc>
        <w:tc>
          <w:tcPr>
            <w:tcW w:w="978" w:type="dxa"/>
            <w:tcBorders>
              <w:top w:val="nil"/>
            </w:tcBorders>
            <w:vAlign w:val="center"/>
          </w:tcPr>
          <w:p w:rsidR="00E13763" w:rsidRPr="006007C7" w:rsidRDefault="00E13763" w:rsidP="00434618">
            <w:pPr>
              <w:spacing w:line="288" w:lineRule="auto"/>
              <w:ind w:right="77"/>
              <w:jc w:val="center"/>
            </w:pPr>
            <w:r>
              <w:t>5,5</w:t>
            </w:r>
          </w:p>
        </w:tc>
        <w:tc>
          <w:tcPr>
            <w:tcW w:w="978" w:type="dxa"/>
            <w:tcBorders>
              <w:top w:val="nil"/>
            </w:tcBorders>
            <w:vAlign w:val="center"/>
          </w:tcPr>
          <w:p w:rsidR="00E13763" w:rsidRPr="006007C7" w:rsidRDefault="00E13763" w:rsidP="00434618">
            <w:pPr>
              <w:spacing w:line="288" w:lineRule="auto"/>
              <w:ind w:right="77"/>
              <w:jc w:val="center"/>
            </w:pPr>
            <w:r>
              <w:t>3,8</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-4,2</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8,2</w:t>
            </w:r>
          </w:p>
        </w:tc>
        <w:tc>
          <w:tcPr>
            <w:tcW w:w="988" w:type="dxa"/>
            <w:tcBorders>
              <w:top w:val="nil"/>
            </w:tcBorders>
            <w:vAlign w:val="center"/>
          </w:tcPr>
          <w:p w:rsidR="00E13763" w:rsidRPr="006007C7" w:rsidRDefault="00E13763" w:rsidP="00434618">
            <w:pPr>
              <w:spacing w:line="288" w:lineRule="auto"/>
              <w:ind w:right="77"/>
              <w:jc w:val="center"/>
            </w:pPr>
            <w:r>
              <w:t>7,1</w:t>
            </w:r>
          </w:p>
        </w:tc>
      </w:tr>
      <w:tr w:rsidR="00E13763" w:rsidRPr="006007C7" w:rsidTr="003B65FB">
        <w:tc>
          <w:tcPr>
            <w:tcW w:w="3245" w:type="dxa"/>
            <w:tcBorders>
              <w:bottom w:val="nil"/>
            </w:tcBorders>
            <w:vAlign w:val="center"/>
          </w:tcPr>
          <w:p w:rsidR="00E13763" w:rsidRPr="006007C7" w:rsidRDefault="00E13763" w:rsidP="00434618">
            <w:pPr>
              <w:spacing w:line="288" w:lineRule="auto"/>
              <w:ind w:right="77"/>
              <w:jc w:val="center"/>
              <w:rPr>
                <w:b/>
                <w:bCs/>
              </w:rPr>
            </w:pPr>
            <w:r w:rsidRPr="006007C7">
              <w:rPr>
                <w:b/>
                <w:bCs/>
                <w:sz w:val="22"/>
                <w:szCs w:val="22"/>
              </w:rPr>
              <w:t>Diğerleri</w:t>
            </w:r>
          </w:p>
        </w:tc>
        <w:tc>
          <w:tcPr>
            <w:tcW w:w="977"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tcBorders>
            <w:vAlign w:val="center"/>
          </w:tcPr>
          <w:p w:rsidR="00E13763" w:rsidRPr="006007C7" w:rsidRDefault="00E13763" w:rsidP="00434618">
            <w:pPr>
              <w:spacing w:line="288" w:lineRule="auto"/>
              <w:ind w:right="77"/>
              <w:jc w:val="center"/>
            </w:pPr>
          </w:p>
        </w:tc>
        <w:tc>
          <w:tcPr>
            <w:tcW w:w="978" w:type="dxa"/>
            <w:tcBorders>
              <w:bottom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p>
        </w:tc>
        <w:tc>
          <w:tcPr>
            <w:tcW w:w="987" w:type="dxa"/>
            <w:tcBorders>
              <w:left w:val="double" w:sz="4" w:space="0" w:color="auto"/>
              <w:bottom w:val="nil"/>
            </w:tcBorders>
            <w:vAlign w:val="center"/>
          </w:tcPr>
          <w:p w:rsidR="00E13763" w:rsidRPr="006007C7" w:rsidRDefault="00E13763" w:rsidP="00434618">
            <w:pPr>
              <w:spacing w:line="288" w:lineRule="auto"/>
              <w:ind w:right="77"/>
              <w:jc w:val="center"/>
            </w:pPr>
          </w:p>
        </w:tc>
        <w:tc>
          <w:tcPr>
            <w:tcW w:w="988" w:type="dxa"/>
            <w:tcBorders>
              <w:bottom w:val="nil"/>
            </w:tcBorders>
            <w:vAlign w:val="center"/>
          </w:tcPr>
          <w:p w:rsidR="00E13763" w:rsidRPr="006007C7" w:rsidRDefault="00E13763" w:rsidP="00434618">
            <w:pPr>
              <w:spacing w:line="288" w:lineRule="auto"/>
              <w:ind w:right="77"/>
              <w:jc w:val="center"/>
            </w:pPr>
          </w:p>
        </w:tc>
      </w:tr>
      <w:tr w:rsidR="00E13763" w:rsidRPr="006007C7" w:rsidTr="003B65FB">
        <w:tc>
          <w:tcPr>
            <w:tcW w:w="3245" w:type="dxa"/>
            <w:tcBorders>
              <w:top w:val="nil"/>
              <w:bottom w:val="nil"/>
            </w:tcBorders>
            <w:vAlign w:val="center"/>
          </w:tcPr>
          <w:p w:rsidR="00E13763" w:rsidRPr="006007C7" w:rsidRDefault="00E13763" w:rsidP="00434618">
            <w:pPr>
              <w:spacing w:line="288" w:lineRule="auto"/>
              <w:ind w:right="77"/>
              <w:jc w:val="center"/>
            </w:pPr>
            <w:r w:rsidRPr="006007C7">
              <w:rPr>
                <w:sz w:val="22"/>
                <w:szCs w:val="22"/>
              </w:rPr>
              <w:t>Özel tüketim vergisi (ÖTV)</w:t>
            </w:r>
          </w:p>
        </w:tc>
        <w:tc>
          <w:tcPr>
            <w:tcW w:w="977" w:type="dxa"/>
            <w:tcBorders>
              <w:top w:val="nil"/>
              <w:bottom w:val="nil"/>
            </w:tcBorders>
            <w:vAlign w:val="center"/>
          </w:tcPr>
          <w:p w:rsidR="00E13763" w:rsidRPr="006007C7" w:rsidRDefault="00E13763" w:rsidP="00121ABE">
            <w:pPr>
              <w:spacing w:line="288" w:lineRule="auto"/>
              <w:ind w:right="77"/>
              <w:jc w:val="center"/>
            </w:pPr>
            <w:r>
              <w:t>12,3</w:t>
            </w:r>
          </w:p>
        </w:tc>
        <w:tc>
          <w:tcPr>
            <w:tcW w:w="978" w:type="dxa"/>
            <w:tcBorders>
              <w:top w:val="nil"/>
              <w:bottom w:val="nil"/>
            </w:tcBorders>
            <w:vAlign w:val="center"/>
          </w:tcPr>
          <w:p w:rsidR="00E13763" w:rsidRPr="006007C7" w:rsidRDefault="00E13763" w:rsidP="00121ABE">
            <w:pPr>
              <w:spacing w:line="288" w:lineRule="auto"/>
              <w:ind w:right="77"/>
              <w:jc w:val="center"/>
            </w:pPr>
            <w:r>
              <w:t>-8,6</w:t>
            </w:r>
          </w:p>
        </w:tc>
        <w:tc>
          <w:tcPr>
            <w:tcW w:w="978" w:type="dxa"/>
            <w:tcBorders>
              <w:top w:val="nil"/>
              <w:bottom w:val="nil"/>
            </w:tcBorders>
            <w:vAlign w:val="center"/>
          </w:tcPr>
          <w:p w:rsidR="00E13763" w:rsidRPr="006007C7" w:rsidRDefault="00E13763" w:rsidP="00121ABE">
            <w:pPr>
              <w:spacing w:line="288" w:lineRule="auto"/>
              <w:ind w:right="77"/>
              <w:jc w:val="center"/>
            </w:pPr>
            <w:r>
              <w:t>4,7</w:t>
            </w:r>
          </w:p>
        </w:tc>
        <w:tc>
          <w:tcPr>
            <w:tcW w:w="978" w:type="dxa"/>
            <w:tcBorders>
              <w:top w:val="nil"/>
              <w:bottom w:val="nil"/>
            </w:tcBorders>
            <w:vAlign w:val="center"/>
          </w:tcPr>
          <w:p w:rsidR="00E13763" w:rsidRPr="006007C7" w:rsidRDefault="00E13763" w:rsidP="00121ABE">
            <w:pPr>
              <w:spacing w:line="288" w:lineRule="auto"/>
              <w:ind w:right="77"/>
              <w:jc w:val="center"/>
            </w:pPr>
            <w:r>
              <w:t>3,7</w:t>
            </w:r>
          </w:p>
        </w:tc>
        <w:tc>
          <w:tcPr>
            <w:tcW w:w="978" w:type="dxa"/>
            <w:tcBorders>
              <w:top w:val="nil"/>
              <w:bottom w:val="nil"/>
              <w:right w:val="double" w:sz="4" w:space="0" w:color="auto"/>
            </w:tcBorders>
            <w:tcMar>
              <w:left w:w="57" w:type="dxa"/>
              <w:right w:w="170" w:type="dxa"/>
            </w:tcMar>
            <w:vAlign w:val="center"/>
          </w:tcPr>
          <w:p w:rsidR="00E13763" w:rsidRPr="006007C7" w:rsidRDefault="00E13763" w:rsidP="00121ABE">
            <w:pPr>
              <w:spacing w:line="288" w:lineRule="auto"/>
              <w:ind w:right="77"/>
              <w:jc w:val="center"/>
            </w:pPr>
            <w:r>
              <w:t>**</w:t>
            </w:r>
          </w:p>
        </w:tc>
        <w:tc>
          <w:tcPr>
            <w:tcW w:w="987" w:type="dxa"/>
            <w:tcBorders>
              <w:top w:val="nil"/>
              <w:left w:val="double" w:sz="4" w:space="0" w:color="auto"/>
              <w:bottom w:val="nil"/>
            </w:tcBorders>
            <w:vAlign w:val="center"/>
          </w:tcPr>
          <w:p w:rsidR="00E13763" w:rsidRPr="006007C7" w:rsidRDefault="00E13763" w:rsidP="00121ABE">
            <w:pPr>
              <w:spacing w:line="288" w:lineRule="auto"/>
              <w:ind w:right="77"/>
              <w:jc w:val="center"/>
            </w:pPr>
            <w:r>
              <w:t>10,0</w:t>
            </w:r>
          </w:p>
        </w:tc>
        <w:tc>
          <w:tcPr>
            <w:tcW w:w="988" w:type="dxa"/>
            <w:tcBorders>
              <w:top w:val="nil"/>
              <w:bottom w:val="nil"/>
            </w:tcBorders>
            <w:vAlign w:val="center"/>
          </w:tcPr>
          <w:p w:rsidR="00E13763" w:rsidRPr="006007C7" w:rsidRDefault="00E13763" w:rsidP="00121ABE">
            <w:pPr>
              <w:spacing w:line="288" w:lineRule="auto"/>
              <w:ind w:right="77"/>
              <w:jc w:val="center"/>
            </w:pPr>
            <w:r>
              <w:t>3,7</w:t>
            </w:r>
          </w:p>
        </w:tc>
      </w:tr>
      <w:tr w:rsidR="00E13763" w:rsidRPr="006007C7" w:rsidTr="003B65FB">
        <w:tc>
          <w:tcPr>
            <w:tcW w:w="3245" w:type="dxa"/>
            <w:tcBorders>
              <w:top w:val="nil"/>
            </w:tcBorders>
            <w:vAlign w:val="center"/>
          </w:tcPr>
          <w:p w:rsidR="00E13763" w:rsidRPr="006007C7" w:rsidRDefault="00E13763" w:rsidP="00434618">
            <w:pPr>
              <w:spacing w:line="288" w:lineRule="auto"/>
              <w:ind w:right="77"/>
              <w:jc w:val="center"/>
            </w:pPr>
            <w:r w:rsidRPr="006007C7">
              <w:rPr>
                <w:sz w:val="22"/>
                <w:szCs w:val="22"/>
              </w:rPr>
              <w:t>Binek otomobil üretimi</w:t>
            </w:r>
          </w:p>
        </w:tc>
        <w:tc>
          <w:tcPr>
            <w:tcW w:w="977" w:type="dxa"/>
            <w:tcBorders>
              <w:top w:val="nil"/>
            </w:tcBorders>
            <w:vAlign w:val="center"/>
          </w:tcPr>
          <w:p w:rsidR="00E13763" w:rsidRPr="006007C7" w:rsidRDefault="00E13763" w:rsidP="00434618">
            <w:pPr>
              <w:spacing w:line="288" w:lineRule="auto"/>
              <w:ind w:right="77"/>
              <w:jc w:val="center"/>
            </w:pPr>
            <w:r>
              <w:t>4,7</w:t>
            </w:r>
          </w:p>
        </w:tc>
        <w:tc>
          <w:tcPr>
            <w:tcW w:w="978" w:type="dxa"/>
            <w:tcBorders>
              <w:top w:val="nil"/>
            </w:tcBorders>
            <w:vAlign w:val="center"/>
          </w:tcPr>
          <w:p w:rsidR="00E13763" w:rsidRPr="006007C7" w:rsidRDefault="00E13763" w:rsidP="00434618">
            <w:pPr>
              <w:spacing w:line="288" w:lineRule="auto"/>
              <w:ind w:right="77"/>
              <w:jc w:val="center"/>
            </w:pPr>
            <w:r>
              <w:t>0,6</w:t>
            </w:r>
          </w:p>
        </w:tc>
        <w:tc>
          <w:tcPr>
            <w:tcW w:w="978" w:type="dxa"/>
            <w:tcBorders>
              <w:top w:val="nil"/>
            </w:tcBorders>
            <w:vAlign w:val="center"/>
          </w:tcPr>
          <w:p w:rsidR="00E13763" w:rsidRPr="006007C7" w:rsidRDefault="00E13763" w:rsidP="00434618">
            <w:pPr>
              <w:spacing w:line="288" w:lineRule="auto"/>
              <w:ind w:right="77"/>
              <w:jc w:val="center"/>
            </w:pPr>
            <w:r>
              <w:t>-10,6</w:t>
            </w:r>
          </w:p>
        </w:tc>
        <w:tc>
          <w:tcPr>
            <w:tcW w:w="978" w:type="dxa"/>
            <w:tcBorders>
              <w:top w:val="nil"/>
            </w:tcBorders>
            <w:vAlign w:val="center"/>
          </w:tcPr>
          <w:p w:rsidR="00E13763" w:rsidRPr="006007C7" w:rsidRDefault="00E13763" w:rsidP="00434618">
            <w:pPr>
              <w:spacing w:line="288" w:lineRule="auto"/>
              <w:ind w:right="77"/>
              <w:jc w:val="center"/>
            </w:pPr>
            <w:r>
              <w:t>2,4</w:t>
            </w:r>
          </w:p>
        </w:tc>
        <w:tc>
          <w:tcPr>
            <w:tcW w:w="978" w:type="dxa"/>
            <w:tcBorders>
              <w:top w:val="nil"/>
              <w:right w:val="double" w:sz="4" w:space="0" w:color="auto"/>
            </w:tcBorders>
            <w:tcMar>
              <w:left w:w="57" w:type="dxa"/>
              <w:right w:w="170" w:type="dxa"/>
            </w:tcMar>
            <w:vAlign w:val="center"/>
          </w:tcPr>
          <w:p w:rsidR="00E13763" w:rsidRPr="006007C7" w:rsidRDefault="00E13763" w:rsidP="00434618">
            <w:pPr>
              <w:spacing w:line="288" w:lineRule="auto"/>
              <w:ind w:right="77"/>
              <w:jc w:val="center"/>
            </w:pPr>
            <w:r>
              <w:t>5,3</w:t>
            </w:r>
          </w:p>
        </w:tc>
        <w:tc>
          <w:tcPr>
            <w:tcW w:w="987" w:type="dxa"/>
            <w:tcBorders>
              <w:top w:val="nil"/>
              <w:left w:val="double" w:sz="4" w:space="0" w:color="auto"/>
            </w:tcBorders>
            <w:vAlign w:val="center"/>
          </w:tcPr>
          <w:p w:rsidR="00E13763" w:rsidRPr="006007C7" w:rsidRDefault="00E13763" w:rsidP="00434618">
            <w:pPr>
              <w:spacing w:line="288" w:lineRule="auto"/>
              <w:ind w:right="77"/>
              <w:jc w:val="center"/>
            </w:pPr>
            <w:r>
              <w:t>4,2</w:t>
            </w:r>
          </w:p>
        </w:tc>
        <w:tc>
          <w:tcPr>
            <w:tcW w:w="988" w:type="dxa"/>
            <w:tcBorders>
              <w:top w:val="nil"/>
            </w:tcBorders>
            <w:vAlign w:val="center"/>
          </w:tcPr>
          <w:p w:rsidR="00E13763" w:rsidRPr="006007C7" w:rsidRDefault="00E13763" w:rsidP="00434618">
            <w:pPr>
              <w:spacing w:line="288" w:lineRule="auto"/>
              <w:ind w:right="77"/>
              <w:jc w:val="center"/>
            </w:pPr>
            <w:r>
              <w:t>-2,4</w:t>
            </w:r>
          </w:p>
        </w:tc>
      </w:tr>
    </w:tbl>
    <w:bookmarkEnd w:id="0"/>
    <w:p w:rsidR="00E13763" w:rsidRDefault="00E13763" w:rsidP="007B7BF7">
      <w:pPr>
        <w:spacing w:line="360" w:lineRule="auto"/>
        <w:ind w:left="-720" w:right="42" w:firstLine="360"/>
        <w:jc w:val="both"/>
        <w:rPr>
          <w:sz w:val="18"/>
          <w:szCs w:val="18"/>
        </w:rPr>
      </w:pPr>
      <w:r w:rsidRPr="008C6E50">
        <w:rPr>
          <w:sz w:val="18"/>
          <w:szCs w:val="18"/>
        </w:rPr>
        <w:t>Kaynak: TUIK, TCMB, IMKB, BETAM</w:t>
      </w:r>
      <w:r>
        <w:rPr>
          <w:sz w:val="18"/>
          <w:szCs w:val="18"/>
        </w:rPr>
        <w:t xml:space="preserve">. </w:t>
      </w:r>
    </w:p>
    <w:p w:rsidR="00E13763" w:rsidRDefault="00E13763" w:rsidP="004D3901">
      <w:pPr>
        <w:spacing w:line="360" w:lineRule="auto"/>
        <w:ind w:left="-360" w:right="42"/>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w:t>
      </w:r>
    </w:p>
    <w:p w:rsidR="00E13763" w:rsidRDefault="00E13763" w:rsidP="004D3901">
      <w:pPr>
        <w:spacing w:line="360" w:lineRule="auto"/>
        <w:ind w:left="-360" w:right="42"/>
        <w:rPr>
          <w:sz w:val="18"/>
          <w:szCs w:val="18"/>
        </w:rPr>
      </w:pPr>
    </w:p>
    <w:p w:rsidR="00E13763" w:rsidRDefault="00E13763" w:rsidP="004D3901">
      <w:pPr>
        <w:spacing w:line="360" w:lineRule="auto"/>
        <w:ind w:left="-360" w:right="42"/>
        <w:rPr>
          <w:sz w:val="18"/>
          <w:szCs w:val="18"/>
        </w:rPr>
      </w:pPr>
    </w:p>
    <w:p w:rsidR="00E13763" w:rsidRDefault="00E13763" w:rsidP="004D3901">
      <w:pPr>
        <w:spacing w:line="360" w:lineRule="auto"/>
        <w:ind w:left="-360" w:right="42"/>
        <w:rPr>
          <w:sz w:val="18"/>
          <w:szCs w:val="18"/>
        </w:rPr>
      </w:pPr>
    </w:p>
    <w:p w:rsidR="00E13763" w:rsidRDefault="00E13763" w:rsidP="004D3901">
      <w:pPr>
        <w:spacing w:line="360" w:lineRule="auto"/>
        <w:ind w:left="-360" w:right="42"/>
        <w:rPr>
          <w:sz w:val="18"/>
          <w:szCs w:val="18"/>
        </w:rPr>
      </w:pPr>
    </w:p>
    <w:p w:rsidR="00E13763" w:rsidRDefault="00E13763" w:rsidP="004D3901">
      <w:pPr>
        <w:spacing w:line="360" w:lineRule="auto"/>
        <w:ind w:left="-360" w:right="42"/>
        <w:rPr>
          <w:sz w:val="18"/>
          <w:szCs w:val="18"/>
        </w:rPr>
      </w:pPr>
    </w:p>
    <w:p w:rsidR="00E13763" w:rsidRPr="004259B8" w:rsidRDefault="00E13763" w:rsidP="003001AF">
      <w:pPr>
        <w:spacing w:line="360" w:lineRule="auto"/>
        <w:ind w:right="42"/>
        <w:rPr>
          <w:sz w:val="18"/>
          <w:szCs w:val="18"/>
        </w:rPr>
        <w:sectPr w:rsidR="00E13763" w:rsidRPr="004259B8" w:rsidSect="008651A8">
          <w:type w:val="continuous"/>
          <w:pgSz w:w="11906" w:h="16838"/>
          <w:pgMar w:top="1417" w:right="1417" w:bottom="1417" w:left="1417" w:header="708" w:footer="708" w:gutter="0"/>
          <w:cols w:space="708"/>
          <w:docGrid w:linePitch="360"/>
        </w:sect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7B19BC">
      <w:pPr>
        <w:ind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p>
    <w:p w:rsidR="00E13763" w:rsidRDefault="00E13763" w:rsidP="004259B8">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E13763" w:rsidRPr="007067F4" w:rsidRDefault="00E13763" w:rsidP="0072768C">
      <w:pPr>
        <w:ind w:left="-360" w:right="42"/>
        <w:jc w:val="both"/>
        <w:rPr>
          <w:b/>
          <w:bCs/>
          <w:sz w:val="8"/>
          <w:szCs w:val="8"/>
        </w:rPr>
      </w:pPr>
    </w:p>
    <w:p w:rsidR="00E13763" w:rsidRPr="00CE2137" w:rsidRDefault="00425C5D" w:rsidP="00143024">
      <w:pPr>
        <w:ind w:left="-360" w:right="42"/>
        <w:jc w:val="both"/>
      </w:pPr>
      <w:r>
        <w:rPr>
          <w:noProof/>
        </w:rPr>
        <w:drawing>
          <wp:inline distT="0" distB="0" distL="0" distR="0">
            <wp:extent cx="2705100" cy="227647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705100" cy="2276475"/>
                    </a:xfrm>
                    <a:prstGeom prst="rect">
                      <a:avLst/>
                    </a:prstGeom>
                    <a:noFill/>
                    <a:ln w="9525">
                      <a:noFill/>
                      <a:miter lim="800000"/>
                      <a:headEnd/>
                      <a:tailEnd/>
                    </a:ln>
                  </pic:spPr>
                </pic:pic>
              </a:graphicData>
            </a:graphic>
          </wp:inline>
        </w:drawing>
      </w:r>
    </w:p>
    <w:p w:rsidR="00E13763" w:rsidRDefault="00E13763" w:rsidP="00143024">
      <w:pPr>
        <w:ind w:left="-360" w:right="42"/>
        <w:jc w:val="both"/>
        <w:rPr>
          <w:sz w:val="18"/>
          <w:szCs w:val="18"/>
        </w:rPr>
      </w:pPr>
      <w:r w:rsidRPr="008C6E50">
        <w:rPr>
          <w:sz w:val="18"/>
          <w:szCs w:val="18"/>
        </w:rPr>
        <w:t xml:space="preserve">Kaynak : TÜİK, Betam (sol taraf KKO ekseni, sağ taraf SÜE </w:t>
      </w:r>
      <w:r>
        <w:rPr>
          <w:sz w:val="18"/>
          <w:szCs w:val="18"/>
        </w:rPr>
        <w:t xml:space="preserve">  </w:t>
      </w:r>
    </w:p>
    <w:p w:rsidR="00E13763" w:rsidRPr="008C6E50" w:rsidRDefault="00E13763" w:rsidP="00143024">
      <w:pPr>
        <w:ind w:left="-360" w:right="42"/>
        <w:jc w:val="both"/>
        <w:rPr>
          <w:sz w:val="18"/>
          <w:szCs w:val="18"/>
        </w:rPr>
      </w:pPr>
      <w:r>
        <w:rPr>
          <w:sz w:val="18"/>
          <w:szCs w:val="18"/>
        </w:rPr>
        <w:t xml:space="preserve"> </w:t>
      </w:r>
      <w:r w:rsidRPr="008C6E50">
        <w:rPr>
          <w:sz w:val="18"/>
          <w:szCs w:val="18"/>
        </w:rPr>
        <w:t>ekseni)</w:t>
      </w:r>
    </w:p>
    <w:p w:rsidR="00E13763" w:rsidRDefault="00E13763" w:rsidP="0072768C">
      <w:pPr>
        <w:ind w:left="-360" w:right="42"/>
        <w:jc w:val="both"/>
        <w:rPr>
          <w:b/>
          <w:bCs/>
          <w:sz w:val="22"/>
          <w:szCs w:val="22"/>
        </w:rPr>
      </w:pPr>
    </w:p>
    <w:p w:rsidR="00E13763" w:rsidRDefault="00E13763" w:rsidP="000F2DB4">
      <w:pPr>
        <w:ind w:right="42"/>
        <w:jc w:val="both"/>
        <w:rPr>
          <w:b/>
          <w:bCs/>
          <w:sz w:val="22"/>
          <w:szCs w:val="22"/>
        </w:rPr>
      </w:pPr>
    </w:p>
    <w:p w:rsidR="00E13763" w:rsidRPr="00483C58" w:rsidRDefault="00E13763" w:rsidP="00483C58">
      <w:pPr>
        <w:ind w:left="-360" w:right="42"/>
        <w:jc w:val="both"/>
        <w:rPr>
          <w:b/>
          <w:bCs/>
          <w:sz w:val="22"/>
          <w:szCs w:val="22"/>
        </w:rPr>
      </w:pP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E13763" w:rsidRPr="007067F4" w:rsidRDefault="00E13763" w:rsidP="0072768C">
      <w:pPr>
        <w:spacing w:line="360" w:lineRule="auto"/>
        <w:ind w:left="-360" w:right="42"/>
        <w:jc w:val="both"/>
        <w:rPr>
          <w:sz w:val="4"/>
          <w:szCs w:val="4"/>
        </w:rPr>
      </w:pPr>
    </w:p>
    <w:p w:rsidR="00E13763" w:rsidRPr="00CE2137" w:rsidRDefault="00425C5D" w:rsidP="00143024">
      <w:pPr>
        <w:ind w:left="-360" w:right="42"/>
        <w:jc w:val="both"/>
      </w:pPr>
      <w:r>
        <w:rPr>
          <w:noProof/>
        </w:rPr>
        <w:drawing>
          <wp:inline distT="0" distB="0" distL="0" distR="0">
            <wp:extent cx="2657475" cy="2305050"/>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57475" cy="2305050"/>
                    </a:xfrm>
                    <a:prstGeom prst="rect">
                      <a:avLst/>
                    </a:prstGeom>
                    <a:noFill/>
                    <a:ln w="9525">
                      <a:noFill/>
                      <a:miter lim="800000"/>
                      <a:headEnd/>
                      <a:tailEnd/>
                    </a:ln>
                  </pic:spPr>
                </pic:pic>
              </a:graphicData>
            </a:graphic>
          </wp:inline>
        </w:drawing>
      </w:r>
    </w:p>
    <w:p w:rsidR="00E13763" w:rsidRPr="008C6E50" w:rsidRDefault="00E13763" w:rsidP="00143024">
      <w:pPr>
        <w:ind w:left="-360" w:right="42"/>
        <w:jc w:val="both"/>
        <w:rPr>
          <w:sz w:val="18"/>
          <w:szCs w:val="18"/>
        </w:rPr>
      </w:pPr>
      <w:r w:rsidRPr="008C6E50">
        <w:rPr>
          <w:sz w:val="18"/>
          <w:szCs w:val="18"/>
        </w:rPr>
        <w:t>Kaynak : TÜİK, Betam</w:t>
      </w:r>
    </w:p>
    <w:p w:rsidR="00E13763" w:rsidRDefault="00E13763" w:rsidP="000F2DB4">
      <w:pPr>
        <w:spacing w:line="360" w:lineRule="auto"/>
        <w:ind w:right="42"/>
        <w:jc w:val="both"/>
        <w:rPr>
          <w:sz w:val="22"/>
          <w:szCs w:val="22"/>
        </w:rPr>
        <w:sectPr w:rsidR="00E13763" w:rsidSect="007067F4">
          <w:type w:val="continuous"/>
          <w:pgSz w:w="11906" w:h="16838"/>
          <w:pgMar w:top="1417" w:right="1417" w:bottom="1417" w:left="1417" w:header="708" w:footer="708" w:gutter="0"/>
          <w:cols w:num="2" w:space="708" w:equalWidth="0">
            <w:col w:w="4182" w:space="708"/>
            <w:col w:w="4182"/>
          </w:cols>
          <w:docGrid w:linePitch="360"/>
        </w:sectPr>
      </w:pPr>
    </w:p>
    <w:p w:rsidR="00E13763" w:rsidRPr="007067F4" w:rsidRDefault="00E13763" w:rsidP="00B25C94">
      <w:pPr>
        <w:spacing w:line="360" w:lineRule="auto"/>
        <w:ind w:left="-360" w:right="42"/>
        <w:jc w:val="both"/>
        <w:rPr>
          <w:b/>
          <w:bCs/>
          <w:sz w:val="22"/>
          <w:szCs w:val="22"/>
        </w:rPr>
      </w:pPr>
      <w:r>
        <w:rPr>
          <w:b/>
          <w:bCs/>
          <w:sz w:val="22"/>
          <w:szCs w:val="22"/>
        </w:rPr>
        <w:lastRenderedPageBreak/>
        <w:t>Şekil 3: C</w:t>
      </w:r>
      <w:r w:rsidRPr="007067F4">
        <w:rPr>
          <w:b/>
          <w:bCs/>
          <w:sz w:val="22"/>
          <w:szCs w:val="22"/>
        </w:rPr>
        <w:t xml:space="preserve">ari </w:t>
      </w:r>
      <w:r>
        <w:rPr>
          <w:b/>
          <w:bCs/>
          <w:sz w:val="22"/>
          <w:szCs w:val="22"/>
        </w:rPr>
        <w:t xml:space="preserve">açığın GSYH’a oranı                           </w:t>
      </w:r>
    </w:p>
    <w:p w:rsidR="00E13763" w:rsidRPr="000144EB" w:rsidRDefault="00425C5D" w:rsidP="000144EB">
      <w:pPr>
        <w:ind w:left="-360" w:right="42"/>
      </w:pPr>
      <w:r>
        <w:rPr>
          <w:noProof/>
        </w:rPr>
        <w:drawing>
          <wp:inline distT="0" distB="0" distL="0" distR="0">
            <wp:extent cx="5753100" cy="28956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753100" cy="2895600"/>
                    </a:xfrm>
                    <a:prstGeom prst="rect">
                      <a:avLst/>
                    </a:prstGeom>
                    <a:noFill/>
                    <a:ln w="9525">
                      <a:noFill/>
                      <a:miter lim="800000"/>
                      <a:headEnd/>
                      <a:tailEnd/>
                    </a:ln>
                  </pic:spPr>
                </pic:pic>
              </a:graphicData>
            </a:graphic>
          </wp:inline>
        </w:drawing>
      </w:r>
    </w:p>
    <w:p w:rsidR="00E13763" w:rsidRPr="00143024" w:rsidRDefault="00E13763" w:rsidP="000144EB">
      <w:pPr>
        <w:ind w:left="-360" w:right="42"/>
      </w:pPr>
      <w:r>
        <w:rPr>
          <w:sz w:val="18"/>
          <w:szCs w:val="18"/>
        </w:rPr>
        <w:t xml:space="preserve">Kaynak: TCMB, TUIK, Betam </w:t>
      </w:r>
      <w:r>
        <w:rPr>
          <w:sz w:val="18"/>
          <w:szCs w:val="18"/>
        </w:rPr>
        <w:tab/>
      </w:r>
      <w:r>
        <w:rPr>
          <w:sz w:val="18"/>
          <w:szCs w:val="18"/>
        </w:rPr>
        <w:tab/>
      </w:r>
      <w:r>
        <w:rPr>
          <w:sz w:val="18"/>
          <w:szCs w:val="18"/>
        </w:rPr>
        <w:tab/>
      </w:r>
      <w:r>
        <w:rPr>
          <w:sz w:val="18"/>
          <w:szCs w:val="18"/>
        </w:rPr>
        <w:tab/>
      </w:r>
    </w:p>
    <w:p w:rsidR="00E13763" w:rsidRDefault="00E13763" w:rsidP="00143024">
      <w:pPr>
        <w:ind w:left="-360" w:right="42"/>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Default="00E13763" w:rsidP="003578FF">
      <w:pPr>
        <w:spacing w:line="360" w:lineRule="auto"/>
        <w:ind w:left="-360" w:right="42"/>
        <w:jc w:val="both"/>
        <w:rPr>
          <w:b/>
          <w:bCs/>
          <w:sz w:val="22"/>
          <w:szCs w:val="22"/>
        </w:rPr>
      </w:pPr>
    </w:p>
    <w:p w:rsidR="00E13763" w:rsidRPr="00EC248D" w:rsidRDefault="00E13763" w:rsidP="003578FF">
      <w:pPr>
        <w:spacing w:line="360" w:lineRule="auto"/>
        <w:ind w:left="-360" w:right="42"/>
        <w:jc w:val="both"/>
        <w:rPr>
          <w:b/>
          <w:bCs/>
          <w:sz w:val="22"/>
          <w:szCs w:val="22"/>
        </w:rPr>
      </w:pPr>
      <w:r>
        <w:rPr>
          <w:b/>
          <w:bCs/>
          <w:sz w:val="22"/>
          <w:szCs w:val="22"/>
        </w:rPr>
        <w:lastRenderedPageBreak/>
        <w:t>Şekil 4:</w:t>
      </w:r>
      <w:r w:rsidRPr="00EC248D">
        <w:rPr>
          <w:b/>
          <w:bCs/>
          <w:sz w:val="22"/>
          <w:szCs w:val="22"/>
        </w:rPr>
        <w:t xml:space="preserve"> </w:t>
      </w:r>
      <w:r>
        <w:rPr>
          <w:b/>
          <w:bCs/>
          <w:sz w:val="22"/>
          <w:szCs w:val="22"/>
        </w:rPr>
        <w:t>Aylık b</w:t>
      </w:r>
      <w:r w:rsidRPr="00EC248D">
        <w:rPr>
          <w:b/>
          <w:bCs/>
          <w:sz w:val="22"/>
          <w:szCs w:val="22"/>
        </w:rPr>
        <w:t>ankalarca TL üzerinden açılan kredilere uygulanan ort</w:t>
      </w:r>
      <w:r>
        <w:rPr>
          <w:b/>
          <w:bCs/>
          <w:sz w:val="22"/>
          <w:szCs w:val="22"/>
        </w:rPr>
        <w:t>a</w:t>
      </w:r>
      <w:r w:rsidRPr="00EC248D">
        <w:rPr>
          <w:b/>
          <w:bCs/>
          <w:sz w:val="22"/>
          <w:szCs w:val="22"/>
        </w:rPr>
        <w:t>lama faiz oranları</w:t>
      </w:r>
    </w:p>
    <w:p w:rsidR="00E13763" w:rsidRDefault="00425C5D" w:rsidP="00366A30">
      <w:pPr>
        <w:ind w:left="-360" w:right="42"/>
        <w:rPr>
          <w:noProof/>
          <w:sz w:val="20"/>
          <w:szCs w:val="20"/>
        </w:rPr>
      </w:pPr>
      <w:r>
        <w:rPr>
          <w:noProof/>
        </w:rPr>
        <w:drawing>
          <wp:inline distT="0" distB="0" distL="0" distR="0">
            <wp:extent cx="5753100" cy="2933700"/>
            <wp:effectExtent l="1905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753100" cy="2933700"/>
                    </a:xfrm>
                    <a:prstGeom prst="rect">
                      <a:avLst/>
                    </a:prstGeom>
                    <a:noFill/>
                    <a:ln w="9525">
                      <a:noFill/>
                      <a:miter lim="800000"/>
                      <a:headEnd/>
                      <a:tailEnd/>
                    </a:ln>
                  </pic:spPr>
                </pic:pic>
              </a:graphicData>
            </a:graphic>
          </wp:inline>
        </w:drawing>
      </w:r>
    </w:p>
    <w:p w:rsidR="00E13763" w:rsidRDefault="00E13763" w:rsidP="00366A30">
      <w:pPr>
        <w:ind w:left="-360" w:right="42"/>
        <w:rPr>
          <w:sz w:val="18"/>
          <w:szCs w:val="18"/>
        </w:rPr>
      </w:pPr>
      <w:r w:rsidRPr="00CC41EB">
        <w:rPr>
          <w:sz w:val="18"/>
          <w:szCs w:val="18"/>
        </w:rPr>
        <w:t xml:space="preserve">Kaynak : </w:t>
      </w:r>
      <w:r>
        <w:rPr>
          <w:sz w:val="18"/>
          <w:szCs w:val="18"/>
        </w:rPr>
        <w:t>TCMB</w:t>
      </w:r>
    </w:p>
    <w:p w:rsidR="00E13763" w:rsidRDefault="00E13763" w:rsidP="00366A30">
      <w:pPr>
        <w:ind w:left="-360" w:right="42"/>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Default="00E13763" w:rsidP="003578FF">
      <w:pPr>
        <w:ind w:left="-360" w:right="42"/>
        <w:jc w:val="both"/>
        <w:rPr>
          <w:sz w:val="18"/>
          <w:szCs w:val="18"/>
        </w:rPr>
      </w:pPr>
    </w:p>
    <w:p w:rsidR="00E13763" w:rsidRPr="003578FF" w:rsidRDefault="00E13763" w:rsidP="003578FF">
      <w:pPr>
        <w:ind w:left="-360" w:right="42"/>
        <w:jc w:val="both"/>
        <w:rPr>
          <w:sz w:val="18"/>
          <w:szCs w:val="18"/>
        </w:rPr>
      </w:pPr>
    </w:p>
    <w:p w:rsidR="00E13763" w:rsidRDefault="00E13763" w:rsidP="0072768C">
      <w:pPr>
        <w:spacing w:line="360" w:lineRule="auto"/>
        <w:ind w:right="42"/>
        <w:jc w:val="both"/>
        <w:rPr>
          <w:b/>
          <w:bCs/>
          <w:sz w:val="22"/>
          <w:szCs w:val="22"/>
        </w:rPr>
      </w:pPr>
    </w:p>
    <w:p w:rsidR="00E13763" w:rsidRDefault="00E13763" w:rsidP="0072768C">
      <w:pPr>
        <w:spacing w:line="360" w:lineRule="auto"/>
        <w:ind w:right="42"/>
        <w:jc w:val="both"/>
        <w:rPr>
          <w:b/>
          <w:bCs/>
          <w:sz w:val="22"/>
          <w:szCs w:val="22"/>
        </w:rPr>
      </w:pPr>
    </w:p>
    <w:p w:rsidR="00E13763" w:rsidRDefault="00E13763" w:rsidP="0072768C">
      <w:pPr>
        <w:spacing w:line="360" w:lineRule="auto"/>
        <w:ind w:right="42"/>
        <w:jc w:val="both"/>
        <w:rPr>
          <w:b/>
          <w:bCs/>
          <w:sz w:val="22"/>
          <w:szCs w:val="22"/>
        </w:rPr>
      </w:pPr>
    </w:p>
    <w:p w:rsidR="00E13763" w:rsidRDefault="00E13763" w:rsidP="0072768C">
      <w:pPr>
        <w:spacing w:line="360" w:lineRule="auto"/>
        <w:ind w:right="42"/>
        <w:jc w:val="both"/>
        <w:rPr>
          <w:b/>
          <w:bCs/>
          <w:sz w:val="22"/>
          <w:szCs w:val="22"/>
        </w:rPr>
      </w:pPr>
    </w:p>
    <w:p w:rsidR="00E13763" w:rsidRDefault="00E13763" w:rsidP="0072768C">
      <w:pPr>
        <w:spacing w:line="360" w:lineRule="auto"/>
        <w:ind w:right="42"/>
        <w:jc w:val="both"/>
        <w:rPr>
          <w:b/>
          <w:bCs/>
          <w:sz w:val="22"/>
          <w:szCs w:val="22"/>
        </w:rPr>
      </w:pPr>
      <w:r>
        <w:rPr>
          <w:b/>
          <w:bCs/>
          <w:sz w:val="22"/>
          <w:szCs w:val="22"/>
        </w:rPr>
        <w:lastRenderedPageBreak/>
        <w:t>Şekil 5:</w:t>
      </w:r>
      <w:r w:rsidRPr="008C6E50">
        <w:rPr>
          <w:sz w:val="22"/>
          <w:szCs w:val="22"/>
        </w:rPr>
        <w:t xml:space="preserve"> </w:t>
      </w:r>
      <w:r w:rsidRPr="008C6E50">
        <w:rPr>
          <w:b/>
          <w:bCs/>
          <w:sz w:val="22"/>
          <w:szCs w:val="22"/>
        </w:rPr>
        <w:t>Alt</w:t>
      </w:r>
      <w:r>
        <w:rPr>
          <w:b/>
          <w:bCs/>
          <w:sz w:val="22"/>
          <w:szCs w:val="22"/>
        </w:rPr>
        <w:t xml:space="preserve"> </w:t>
      </w:r>
      <w:r w:rsidRPr="008C6E50">
        <w:rPr>
          <w:b/>
          <w:bCs/>
          <w:sz w:val="22"/>
          <w:szCs w:val="22"/>
        </w:rPr>
        <w:t>kalemlere göre aylık ihracat değişim oranları (</w:t>
      </w:r>
      <w:r>
        <w:rPr>
          <w:b/>
          <w:bCs/>
          <w:sz w:val="22"/>
          <w:szCs w:val="22"/>
        </w:rPr>
        <w:t>mea</w:t>
      </w:r>
      <w:r w:rsidRPr="008C6E50">
        <w:rPr>
          <w:b/>
          <w:bCs/>
          <w:sz w:val="22"/>
          <w:szCs w:val="22"/>
        </w:rPr>
        <w:t>)</w:t>
      </w:r>
    </w:p>
    <w:p w:rsidR="00E13763" w:rsidRDefault="00E13763" w:rsidP="0072768C">
      <w:pPr>
        <w:spacing w:line="360" w:lineRule="auto"/>
        <w:ind w:right="42"/>
        <w:jc w:val="both"/>
        <w:rPr>
          <w:b/>
          <w:bCs/>
          <w:sz w:val="22"/>
          <w:szCs w:val="22"/>
        </w:rPr>
      </w:pPr>
    </w:p>
    <w:p w:rsidR="00E13763" w:rsidRDefault="00425C5D" w:rsidP="007806C4">
      <w:pPr>
        <w:spacing w:line="360" w:lineRule="auto"/>
        <w:ind w:left="-540" w:right="42"/>
        <w:rPr>
          <w:b/>
          <w:bCs/>
          <w:sz w:val="22"/>
          <w:szCs w:val="22"/>
        </w:rPr>
      </w:pPr>
      <w:r>
        <w:rPr>
          <w:noProof/>
        </w:rPr>
        <w:drawing>
          <wp:inline distT="0" distB="0" distL="0" distR="0">
            <wp:extent cx="5705475" cy="3048000"/>
            <wp:effectExtent l="19050" t="0" r="9525"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705475" cy="3048000"/>
                    </a:xfrm>
                    <a:prstGeom prst="rect">
                      <a:avLst/>
                    </a:prstGeom>
                    <a:noFill/>
                    <a:ln w="9525">
                      <a:noFill/>
                      <a:miter lim="800000"/>
                      <a:headEnd/>
                      <a:tailEnd/>
                    </a:ln>
                  </pic:spPr>
                </pic:pic>
              </a:graphicData>
            </a:graphic>
          </wp:inline>
        </w:drawing>
      </w:r>
      <w:r w:rsidR="000A79A0" w:rsidRPr="000A79A0">
        <w:rPr>
          <w:noProof/>
        </w:rPr>
        <w:pict>
          <v:rect id="_x0000_s1032" style="position:absolute;left:0;text-align:left;margin-left:-21.45pt;margin-top:247.2pt;width:459.85pt;height:256.75pt;z-index:251659776;mso-position-horizontal-relative:text;mso-position-vertical-relative:text">
            <v:fill opacity="0"/>
            <w10:anchorlock/>
          </v:rect>
        </w:pict>
      </w:r>
      <w:r w:rsidR="00E13763">
        <w:rPr>
          <w:b/>
          <w:bCs/>
          <w:sz w:val="22"/>
          <w:szCs w:val="22"/>
        </w:rPr>
        <w:br/>
      </w:r>
      <w:r w:rsidR="000A79A0" w:rsidRPr="000A79A0">
        <w:rPr>
          <w:noProof/>
        </w:rPr>
        <w:pict>
          <v:shape id="_x0000_s1033" type="#_x0000_t202" style="position:absolute;left:0;text-align:left;margin-left:177.05pt;margin-top:-18.4pt;width:88.95pt;height:20.65pt;z-index:251656704;mso-position-horizontal-relative:text;mso-position-vertical-relative:text" strokecolor="white">
            <v:textbox style="mso-next-textbox:#_x0000_s1033">
              <w:txbxContent>
                <w:p w:rsidR="00E13763" w:rsidRPr="009A67E1" w:rsidRDefault="00E13763">
                  <w:r>
                    <w:t>Aralık 2012</w:t>
                  </w:r>
                </w:p>
              </w:txbxContent>
            </v:textbox>
            <w10:anchorlock/>
          </v:shape>
        </w:pict>
      </w:r>
    </w:p>
    <w:p w:rsidR="00E13763" w:rsidRPr="007806C4" w:rsidRDefault="00425C5D" w:rsidP="007806C4">
      <w:pPr>
        <w:ind w:left="-360" w:right="42"/>
        <w:jc w:val="both"/>
        <w:rPr>
          <w:b/>
          <w:bCs/>
          <w:sz w:val="22"/>
          <w:szCs w:val="22"/>
        </w:rPr>
      </w:pPr>
      <w:r>
        <w:rPr>
          <w:noProof/>
        </w:rPr>
        <w:drawing>
          <wp:inline distT="0" distB="0" distL="0" distR="0">
            <wp:extent cx="5762625" cy="3067050"/>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762625" cy="3067050"/>
                    </a:xfrm>
                    <a:prstGeom prst="rect">
                      <a:avLst/>
                    </a:prstGeom>
                    <a:noFill/>
                    <a:ln w="9525">
                      <a:noFill/>
                      <a:miter lim="800000"/>
                      <a:headEnd/>
                      <a:tailEnd/>
                    </a:ln>
                  </pic:spPr>
                </pic:pic>
              </a:graphicData>
            </a:graphic>
          </wp:inline>
        </w:drawing>
      </w:r>
      <w:r w:rsidR="000A79A0" w:rsidRPr="000A79A0">
        <w:rPr>
          <w:noProof/>
        </w:rPr>
        <w:pict>
          <v:rect id="_x0000_s1034" style="position:absolute;left:0;text-align:left;margin-left:-21.45pt;margin-top:-285.6pt;width:459.85pt;height:263.75pt;z-index:251658752;mso-position-horizontal-relative:text;mso-position-vertical-relative:text">
            <v:fill opacity="0"/>
            <w10:anchorlock/>
          </v:rect>
        </w:pict>
      </w:r>
      <w:r w:rsidR="000A79A0" w:rsidRPr="000A79A0">
        <w:rPr>
          <w:noProof/>
        </w:rPr>
        <w:pict>
          <v:shape id="_x0000_s1035" type="#_x0000_t202" style="position:absolute;left:0;text-align:left;margin-left:179pt;margin-top:-20pt;width:87pt;height:20.65pt;z-index:251657728;mso-position-horizontal-relative:text;mso-position-vertical-relative:text" strokecolor="white">
            <v:textbox>
              <w:txbxContent>
                <w:p w:rsidR="00E13763" w:rsidRPr="00D42C68" w:rsidRDefault="00E13763" w:rsidP="00D42C68">
                  <w:r>
                    <w:t>Ocak 2013</w:t>
                  </w:r>
                </w:p>
              </w:txbxContent>
            </v:textbox>
            <w10:anchorlock/>
          </v:shape>
        </w:pict>
      </w:r>
      <w:r w:rsidR="003B65FB">
        <w:rPr>
          <w:noProof/>
        </w:rPr>
        <w:t xml:space="preserve"> </w:t>
      </w:r>
      <w:r w:rsidR="003B65FB">
        <w:rPr>
          <w:noProof/>
        </w:rPr>
        <w:br/>
      </w:r>
      <w:r w:rsidR="00E13763" w:rsidRPr="00CC41EB">
        <w:rPr>
          <w:sz w:val="18"/>
          <w:szCs w:val="18"/>
        </w:rPr>
        <w:t>Kaynak : TÜİK, Betam</w:t>
      </w:r>
    </w:p>
    <w:p w:rsidR="00E13763" w:rsidRDefault="00E13763" w:rsidP="0072768C">
      <w:pPr>
        <w:spacing w:line="360" w:lineRule="auto"/>
        <w:ind w:right="42"/>
        <w:jc w:val="both"/>
        <w:rPr>
          <w:sz w:val="18"/>
          <w:szCs w:val="18"/>
        </w:rPr>
      </w:pPr>
    </w:p>
    <w:p w:rsidR="00E13763" w:rsidRDefault="00E13763" w:rsidP="0072768C">
      <w:pPr>
        <w:spacing w:line="360" w:lineRule="auto"/>
        <w:ind w:right="42"/>
        <w:jc w:val="both"/>
        <w:rPr>
          <w:sz w:val="18"/>
          <w:szCs w:val="18"/>
        </w:rPr>
      </w:pPr>
    </w:p>
    <w:p w:rsidR="00E13763" w:rsidRPr="00CC41EB" w:rsidRDefault="00E13763" w:rsidP="0072768C">
      <w:pPr>
        <w:spacing w:line="360" w:lineRule="auto"/>
        <w:ind w:right="42"/>
        <w:jc w:val="both"/>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p>
    <w:sectPr w:rsidR="00E13763"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B7" w:rsidRDefault="00A646B7">
      <w:r>
        <w:separator/>
      </w:r>
    </w:p>
  </w:endnote>
  <w:endnote w:type="continuationSeparator" w:id="1">
    <w:p w:rsidR="00A646B7" w:rsidRDefault="00A64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63" w:rsidRDefault="000A79A0" w:rsidP="00D830C4">
    <w:pPr>
      <w:pStyle w:val="Altbilgi"/>
      <w:framePr w:wrap="auto" w:vAnchor="text" w:hAnchor="margin" w:xAlign="right" w:y="1"/>
      <w:rPr>
        <w:rStyle w:val="SayfaNumaras"/>
      </w:rPr>
    </w:pPr>
    <w:r>
      <w:rPr>
        <w:rStyle w:val="SayfaNumaras"/>
      </w:rPr>
      <w:fldChar w:fldCharType="begin"/>
    </w:r>
    <w:r w:rsidR="00E13763">
      <w:rPr>
        <w:rStyle w:val="SayfaNumaras"/>
      </w:rPr>
      <w:instrText xml:space="preserve">PAGE  </w:instrText>
    </w:r>
    <w:r>
      <w:rPr>
        <w:rStyle w:val="SayfaNumaras"/>
      </w:rPr>
      <w:fldChar w:fldCharType="separate"/>
    </w:r>
    <w:r w:rsidR="00B16F1E">
      <w:rPr>
        <w:rStyle w:val="SayfaNumaras"/>
        <w:noProof/>
      </w:rPr>
      <w:t>7</w:t>
    </w:r>
    <w:r>
      <w:rPr>
        <w:rStyle w:val="SayfaNumaras"/>
      </w:rPr>
      <w:fldChar w:fldCharType="end"/>
    </w:r>
  </w:p>
  <w:p w:rsidR="00E13763" w:rsidRPr="007B51E3" w:rsidRDefault="00E13763" w:rsidP="007B51E3">
    <w:pPr>
      <w:pStyle w:val="Altbilgi"/>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B7" w:rsidRDefault="00A646B7">
      <w:r>
        <w:separator/>
      </w:r>
    </w:p>
  </w:footnote>
  <w:footnote w:type="continuationSeparator" w:id="1">
    <w:p w:rsidR="00A646B7" w:rsidRDefault="00A64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4860"/>
    <w:rsid w:val="00004B78"/>
    <w:rsid w:val="0000704D"/>
    <w:rsid w:val="0001121A"/>
    <w:rsid w:val="000117B7"/>
    <w:rsid w:val="000144EB"/>
    <w:rsid w:val="000205A1"/>
    <w:rsid w:val="000212AC"/>
    <w:rsid w:val="000224B9"/>
    <w:rsid w:val="000233A7"/>
    <w:rsid w:val="00024559"/>
    <w:rsid w:val="00026F21"/>
    <w:rsid w:val="00033700"/>
    <w:rsid w:val="00034090"/>
    <w:rsid w:val="0003546D"/>
    <w:rsid w:val="00047B99"/>
    <w:rsid w:val="00047E9F"/>
    <w:rsid w:val="0005037D"/>
    <w:rsid w:val="00050453"/>
    <w:rsid w:val="00052D7A"/>
    <w:rsid w:val="00056118"/>
    <w:rsid w:val="00056B3E"/>
    <w:rsid w:val="00061732"/>
    <w:rsid w:val="00064636"/>
    <w:rsid w:val="0006518B"/>
    <w:rsid w:val="00065B3C"/>
    <w:rsid w:val="000716CA"/>
    <w:rsid w:val="00074648"/>
    <w:rsid w:val="00077A9D"/>
    <w:rsid w:val="00077FF4"/>
    <w:rsid w:val="00082FE4"/>
    <w:rsid w:val="000833C7"/>
    <w:rsid w:val="000925B3"/>
    <w:rsid w:val="00097E2B"/>
    <w:rsid w:val="000A292B"/>
    <w:rsid w:val="000A687F"/>
    <w:rsid w:val="000A6907"/>
    <w:rsid w:val="000A701D"/>
    <w:rsid w:val="000A79A0"/>
    <w:rsid w:val="000B2BF9"/>
    <w:rsid w:val="000B2E92"/>
    <w:rsid w:val="000B325E"/>
    <w:rsid w:val="000B41F3"/>
    <w:rsid w:val="000B50DE"/>
    <w:rsid w:val="000B6120"/>
    <w:rsid w:val="000B6127"/>
    <w:rsid w:val="000B7E94"/>
    <w:rsid w:val="000C5B7E"/>
    <w:rsid w:val="000C7B42"/>
    <w:rsid w:val="000D0C5A"/>
    <w:rsid w:val="000D17A2"/>
    <w:rsid w:val="000D1F14"/>
    <w:rsid w:val="000D56EB"/>
    <w:rsid w:val="000D5927"/>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75D1"/>
    <w:rsid w:val="001105B2"/>
    <w:rsid w:val="00114BC7"/>
    <w:rsid w:val="00121ABE"/>
    <w:rsid w:val="0012262F"/>
    <w:rsid w:val="001260D7"/>
    <w:rsid w:val="001267DF"/>
    <w:rsid w:val="00130959"/>
    <w:rsid w:val="00132E7B"/>
    <w:rsid w:val="001331CB"/>
    <w:rsid w:val="0013381D"/>
    <w:rsid w:val="001360D1"/>
    <w:rsid w:val="00141B93"/>
    <w:rsid w:val="00143024"/>
    <w:rsid w:val="00143828"/>
    <w:rsid w:val="00151BCF"/>
    <w:rsid w:val="001553F2"/>
    <w:rsid w:val="0015586B"/>
    <w:rsid w:val="0015676E"/>
    <w:rsid w:val="00156914"/>
    <w:rsid w:val="00157DC2"/>
    <w:rsid w:val="001609FA"/>
    <w:rsid w:val="00161689"/>
    <w:rsid w:val="00162629"/>
    <w:rsid w:val="001632B0"/>
    <w:rsid w:val="0016401E"/>
    <w:rsid w:val="001653F9"/>
    <w:rsid w:val="00165552"/>
    <w:rsid w:val="00165C59"/>
    <w:rsid w:val="00165CB0"/>
    <w:rsid w:val="00166FE5"/>
    <w:rsid w:val="00167D69"/>
    <w:rsid w:val="00170502"/>
    <w:rsid w:val="00170CA9"/>
    <w:rsid w:val="00171424"/>
    <w:rsid w:val="00172263"/>
    <w:rsid w:val="00177FE3"/>
    <w:rsid w:val="0018034E"/>
    <w:rsid w:val="00181B5A"/>
    <w:rsid w:val="00182F2B"/>
    <w:rsid w:val="00183507"/>
    <w:rsid w:val="001938A7"/>
    <w:rsid w:val="0019538C"/>
    <w:rsid w:val="00197ACB"/>
    <w:rsid w:val="001A2051"/>
    <w:rsid w:val="001A2B3D"/>
    <w:rsid w:val="001A45BC"/>
    <w:rsid w:val="001A528A"/>
    <w:rsid w:val="001A772F"/>
    <w:rsid w:val="001B0683"/>
    <w:rsid w:val="001B2F96"/>
    <w:rsid w:val="001B30E0"/>
    <w:rsid w:val="001B34B5"/>
    <w:rsid w:val="001B3B49"/>
    <w:rsid w:val="001B6AFA"/>
    <w:rsid w:val="001C184E"/>
    <w:rsid w:val="001C62D3"/>
    <w:rsid w:val="001C7334"/>
    <w:rsid w:val="001D09B1"/>
    <w:rsid w:val="001D129A"/>
    <w:rsid w:val="001D1F1B"/>
    <w:rsid w:val="001E0274"/>
    <w:rsid w:val="001E27F8"/>
    <w:rsid w:val="001E4BF5"/>
    <w:rsid w:val="001E739D"/>
    <w:rsid w:val="001E7720"/>
    <w:rsid w:val="001F2761"/>
    <w:rsid w:val="001F4CFB"/>
    <w:rsid w:val="001F6F00"/>
    <w:rsid w:val="001F7144"/>
    <w:rsid w:val="001F71A5"/>
    <w:rsid w:val="001F7216"/>
    <w:rsid w:val="001F775A"/>
    <w:rsid w:val="0020167B"/>
    <w:rsid w:val="00204364"/>
    <w:rsid w:val="00206291"/>
    <w:rsid w:val="00207185"/>
    <w:rsid w:val="00207CC3"/>
    <w:rsid w:val="002176C5"/>
    <w:rsid w:val="00217D35"/>
    <w:rsid w:val="00223A5B"/>
    <w:rsid w:val="002242A1"/>
    <w:rsid w:val="00224908"/>
    <w:rsid w:val="002272CB"/>
    <w:rsid w:val="00231E92"/>
    <w:rsid w:val="00232243"/>
    <w:rsid w:val="0023312F"/>
    <w:rsid w:val="00237255"/>
    <w:rsid w:val="00245B1F"/>
    <w:rsid w:val="00251DE2"/>
    <w:rsid w:val="00251E82"/>
    <w:rsid w:val="00252FAF"/>
    <w:rsid w:val="002569EA"/>
    <w:rsid w:val="00262020"/>
    <w:rsid w:val="002670FE"/>
    <w:rsid w:val="00267EB4"/>
    <w:rsid w:val="00273E62"/>
    <w:rsid w:val="00277E58"/>
    <w:rsid w:val="002816C6"/>
    <w:rsid w:val="002820F1"/>
    <w:rsid w:val="00284A28"/>
    <w:rsid w:val="002871E8"/>
    <w:rsid w:val="00291C79"/>
    <w:rsid w:val="00295AFF"/>
    <w:rsid w:val="00297712"/>
    <w:rsid w:val="002A05DB"/>
    <w:rsid w:val="002A1FA0"/>
    <w:rsid w:val="002A49A3"/>
    <w:rsid w:val="002A5D22"/>
    <w:rsid w:val="002A66ED"/>
    <w:rsid w:val="002B3644"/>
    <w:rsid w:val="002C236E"/>
    <w:rsid w:val="002C2DA3"/>
    <w:rsid w:val="002C4200"/>
    <w:rsid w:val="002C49EC"/>
    <w:rsid w:val="002C5F2D"/>
    <w:rsid w:val="002D2F1A"/>
    <w:rsid w:val="002D3C8B"/>
    <w:rsid w:val="002D4158"/>
    <w:rsid w:val="002E1EA4"/>
    <w:rsid w:val="002E6E82"/>
    <w:rsid w:val="002E6F87"/>
    <w:rsid w:val="002E7860"/>
    <w:rsid w:val="002F3718"/>
    <w:rsid w:val="002F4648"/>
    <w:rsid w:val="002F5134"/>
    <w:rsid w:val="002F5C24"/>
    <w:rsid w:val="002F61A9"/>
    <w:rsid w:val="003001AF"/>
    <w:rsid w:val="0030120F"/>
    <w:rsid w:val="00303A3C"/>
    <w:rsid w:val="003044A5"/>
    <w:rsid w:val="003051E6"/>
    <w:rsid w:val="0031043B"/>
    <w:rsid w:val="003118F7"/>
    <w:rsid w:val="00312DB8"/>
    <w:rsid w:val="00312EB0"/>
    <w:rsid w:val="003134C3"/>
    <w:rsid w:val="003142BA"/>
    <w:rsid w:val="00316CE9"/>
    <w:rsid w:val="00316DB4"/>
    <w:rsid w:val="003208B4"/>
    <w:rsid w:val="003223B0"/>
    <w:rsid w:val="00323169"/>
    <w:rsid w:val="00323CA6"/>
    <w:rsid w:val="00324A91"/>
    <w:rsid w:val="003269F7"/>
    <w:rsid w:val="0033129D"/>
    <w:rsid w:val="00332DBD"/>
    <w:rsid w:val="00333B98"/>
    <w:rsid w:val="00337AE5"/>
    <w:rsid w:val="00341195"/>
    <w:rsid w:val="0034251A"/>
    <w:rsid w:val="00342E6B"/>
    <w:rsid w:val="00344555"/>
    <w:rsid w:val="0034543C"/>
    <w:rsid w:val="003466B0"/>
    <w:rsid w:val="0035343B"/>
    <w:rsid w:val="003545A8"/>
    <w:rsid w:val="003552A4"/>
    <w:rsid w:val="00356020"/>
    <w:rsid w:val="003578FF"/>
    <w:rsid w:val="00357ECC"/>
    <w:rsid w:val="003622FF"/>
    <w:rsid w:val="00362436"/>
    <w:rsid w:val="00362D77"/>
    <w:rsid w:val="00366A30"/>
    <w:rsid w:val="00375126"/>
    <w:rsid w:val="00376AC1"/>
    <w:rsid w:val="0038488E"/>
    <w:rsid w:val="00385F45"/>
    <w:rsid w:val="00390136"/>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B65FB"/>
    <w:rsid w:val="003B757A"/>
    <w:rsid w:val="003C2BAF"/>
    <w:rsid w:val="003C3188"/>
    <w:rsid w:val="003C640D"/>
    <w:rsid w:val="003C6C41"/>
    <w:rsid w:val="003C7051"/>
    <w:rsid w:val="003D0E64"/>
    <w:rsid w:val="003D7D0B"/>
    <w:rsid w:val="003D7E7F"/>
    <w:rsid w:val="003F1E42"/>
    <w:rsid w:val="003F503B"/>
    <w:rsid w:val="003F7185"/>
    <w:rsid w:val="00402158"/>
    <w:rsid w:val="004074ED"/>
    <w:rsid w:val="00412C49"/>
    <w:rsid w:val="00414443"/>
    <w:rsid w:val="00415FC4"/>
    <w:rsid w:val="00417568"/>
    <w:rsid w:val="00421D0B"/>
    <w:rsid w:val="004229DE"/>
    <w:rsid w:val="004239AE"/>
    <w:rsid w:val="00423E8F"/>
    <w:rsid w:val="004251B6"/>
    <w:rsid w:val="004259B8"/>
    <w:rsid w:val="00425C5D"/>
    <w:rsid w:val="00432F82"/>
    <w:rsid w:val="00434618"/>
    <w:rsid w:val="00435FF5"/>
    <w:rsid w:val="004441AD"/>
    <w:rsid w:val="00444DA6"/>
    <w:rsid w:val="004466EA"/>
    <w:rsid w:val="004475A9"/>
    <w:rsid w:val="00453D77"/>
    <w:rsid w:val="00454965"/>
    <w:rsid w:val="00461612"/>
    <w:rsid w:val="0046178B"/>
    <w:rsid w:val="00462314"/>
    <w:rsid w:val="00462E07"/>
    <w:rsid w:val="00463512"/>
    <w:rsid w:val="0046362C"/>
    <w:rsid w:val="00463BBF"/>
    <w:rsid w:val="00466C2F"/>
    <w:rsid w:val="004701D0"/>
    <w:rsid w:val="00474D75"/>
    <w:rsid w:val="004771EB"/>
    <w:rsid w:val="004814F0"/>
    <w:rsid w:val="00482771"/>
    <w:rsid w:val="00483C58"/>
    <w:rsid w:val="00484222"/>
    <w:rsid w:val="00494345"/>
    <w:rsid w:val="004A0D43"/>
    <w:rsid w:val="004A4E4F"/>
    <w:rsid w:val="004A56E7"/>
    <w:rsid w:val="004A7FE6"/>
    <w:rsid w:val="004B0B90"/>
    <w:rsid w:val="004B30FB"/>
    <w:rsid w:val="004B3F80"/>
    <w:rsid w:val="004B40EE"/>
    <w:rsid w:val="004C0A8D"/>
    <w:rsid w:val="004C25F6"/>
    <w:rsid w:val="004D100D"/>
    <w:rsid w:val="004D3901"/>
    <w:rsid w:val="004D3F5D"/>
    <w:rsid w:val="004D67C5"/>
    <w:rsid w:val="004D7E65"/>
    <w:rsid w:val="004E00D0"/>
    <w:rsid w:val="004E07DC"/>
    <w:rsid w:val="004E0851"/>
    <w:rsid w:val="004E1AE2"/>
    <w:rsid w:val="004E5446"/>
    <w:rsid w:val="004F059F"/>
    <w:rsid w:val="004F6ACE"/>
    <w:rsid w:val="004F7447"/>
    <w:rsid w:val="00505141"/>
    <w:rsid w:val="005066A2"/>
    <w:rsid w:val="00506CD9"/>
    <w:rsid w:val="00511EF3"/>
    <w:rsid w:val="00512AE9"/>
    <w:rsid w:val="00513FBF"/>
    <w:rsid w:val="0051750C"/>
    <w:rsid w:val="00522063"/>
    <w:rsid w:val="00522ED0"/>
    <w:rsid w:val="00523C58"/>
    <w:rsid w:val="0052557E"/>
    <w:rsid w:val="00526CC9"/>
    <w:rsid w:val="0052770E"/>
    <w:rsid w:val="005310F8"/>
    <w:rsid w:val="00534CA7"/>
    <w:rsid w:val="00535BAD"/>
    <w:rsid w:val="00536B3B"/>
    <w:rsid w:val="00537DBB"/>
    <w:rsid w:val="005435C8"/>
    <w:rsid w:val="00543E56"/>
    <w:rsid w:val="00544A5C"/>
    <w:rsid w:val="005470EC"/>
    <w:rsid w:val="00556328"/>
    <w:rsid w:val="00563399"/>
    <w:rsid w:val="00571282"/>
    <w:rsid w:val="00573C3B"/>
    <w:rsid w:val="0058722C"/>
    <w:rsid w:val="0058799A"/>
    <w:rsid w:val="00587F62"/>
    <w:rsid w:val="00593B80"/>
    <w:rsid w:val="005A06D3"/>
    <w:rsid w:val="005A0AF8"/>
    <w:rsid w:val="005A2B2E"/>
    <w:rsid w:val="005A3E49"/>
    <w:rsid w:val="005A4714"/>
    <w:rsid w:val="005B5D93"/>
    <w:rsid w:val="005C0A9A"/>
    <w:rsid w:val="005C28BC"/>
    <w:rsid w:val="005C4EA4"/>
    <w:rsid w:val="005D0287"/>
    <w:rsid w:val="005D39F3"/>
    <w:rsid w:val="005D7E62"/>
    <w:rsid w:val="005E13DF"/>
    <w:rsid w:val="005E1D9A"/>
    <w:rsid w:val="005E2983"/>
    <w:rsid w:val="005E3EE4"/>
    <w:rsid w:val="005F03CC"/>
    <w:rsid w:val="005F2063"/>
    <w:rsid w:val="005F2279"/>
    <w:rsid w:val="005F2A5B"/>
    <w:rsid w:val="005F31BE"/>
    <w:rsid w:val="005F700B"/>
    <w:rsid w:val="006007C7"/>
    <w:rsid w:val="006015A3"/>
    <w:rsid w:val="00602BC6"/>
    <w:rsid w:val="00602EB0"/>
    <w:rsid w:val="00603311"/>
    <w:rsid w:val="00603C6D"/>
    <w:rsid w:val="006079B9"/>
    <w:rsid w:val="00613A11"/>
    <w:rsid w:val="00613B72"/>
    <w:rsid w:val="0062291A"/>
    <w:rsid w:val="00623B31"/>
    <w:rsid w:val="0062575D"/>
    <w:rsid w:val="0063164E"/>
    <w:rsid w:val="0064166F"/>
    <w:rsid w:val="00643C4C"/>
    <w:rsid w:val="00647676"/>
    <w:rsid w:val="00647DB4"/>
    <w:rsid w:val="006502E3"/>
    <w:rsid w:val="00660F48"/>
    <w:rsid w:val="0066619C"/>
    <w:rsid w:val="006713C0"/>
    <w:rsid w:val="006717CE"/>
    <w:rsid w:val="00674304"/>
    <w:rsid w:val="00674779"/>
    <w:rsid w:val="00676D51"/>
    <w:rsid w:val="00676EAB"/>
    <w:rsid w:val="00680C1A"/>
    <w:rsid w:val="006836A7"/>
    <w:rsid w:val="00683A24"/>
    <w:rsid w:val="006868AD"/>
    <w:rsid w:val="00691D96"/>
    <w:rsid w:val="00692D34"/>
    <w:rsid w:val="00693B96"/>
    <w:rsid w:val="00695F24"/>
    <w:rsid w:val="00696507"/>
    <w:rsid w:val="0069776E"/>
    <w:rsid w:val="006A507F"/>
    <w:rsid w:val="006A53AA"/>
    <w:rsid w:val="006A7193"/>
    <w:rsid w:val="006B08B4"/>
    <w:rsid w:val="006B12C5"/>
    <w:rsid w:val="006B2978"/>
    <w:rsid w:val="006B6367"/>
    <w:rsid w:val="006C034B"/>
    <w:rsid w:val="006C2AB7"/>
    <w:rsid w:val="006C6C6F"/>
    <w:rsid w:val="006C74FB"/>
    <w:rsid w:val="006E0C79"/>
    <w:rsid w:val="006E3384"/>
    <w:rsid w:val="006E4051"/>
    <w:rsid w:val="006E480B"/>
    <w:rsid w:val="006E5E68"/>
    <w:rsid w:val="006F0B18"/>
    <w:rsid w:val="006F1A82"/>
    <w:rsid w:val="006F2049"/>
    <w:rsid w:val="006F278A"/>
    <w:rsid w:val="006F33D4"/>
    <w:rsid w:val="006F3ECA"/>
    <w:rsid w:val="006F7FE6"/>
    <w:rsid w:val="00701A0C"/>
    <w:rsid w:val="0070556E"/>
    <w:rsid w:val="007067F4"/>
    <w:rsid w:val="0070704B"/>
    <w:rsid w:val="007103A2"/>
    <w:rsid w:val="00712041"/>
    <w:rsid w:val="007169B6"/>
    <w:rsid w:val="00724574"/>
    <w:rsid w:val="0072768C"/>
    <w:rsid w:val="00745E22"/>
    <w:rsid w:val="0074648A"/>
    <w:rsid w:val="00747A9B"/>
    <w:rsid w:val="0075074A"/>
    <w:rsid w:val="007522D9"/>
    <w:rsid w:val="00752330"/>
    <w:rsid w:val="00753469"/>
    <w:rsid w:val="0075405B"/>
    <w:rsid w:val="0075696F"/>
    <w:rsid w:val="007633AA"/>
    <w:rsid w:val="007652AE"/>
    <w:rsid w:val="00767D6E"/>
    <w:rsid w:val="00770580"/>
    <w:rsid w:val="00770D1C"/>
    <w:rsid w:val="007750EF"/>
    <w:rsid w:val="007806C4"/>
    <w:rsid w:val="00781ECE"/>
    <w:rsid w:val="00783C9A"/>
    <w:rsid w:val="00783CDF"/>
    <w:rsid w:val="007906E2"/>
    <w:rsid w:val="007956C2"/>
    <w:rsid w:val="00797B31"/>
    <w:rsid w:val="007A311A"/>
    <w:rsid w:val="007A35F3"/>
    <w:rsid w:val="007A36DD"/>
    <w:rsid w:val="007A69DC"/>
    <w:rsid w:val="007B19BC"/>
    <w:rsid w:val="007B51E3"/>
    <w:rsid w:val="007B7BF7"/>
    <w:rsid w:val="007C31F8"/>
    <w:rsid w:val="007C3C2B"/>
    <w:rsid w:val="007C3C78"/>
    <w:rsid w:val="007D02A6"/>
    <w:rsid w:val="007D0625"/>
    <w:rsid w:val="007D3176"/>
    <w:rsid w:val="007D3E0C"/>
    <w:rsid w:val="007D5551"/>
    <w:rsid w:val="007D5CAE"/>
    <w:rsid w:val="007D745B"/>
    <w:rsid w:val="007E10C4"/>
    <w:rsid w:val="007E13CA"/>
    <w:rsid w:val="007E182F"/>
    <w:rsid w:val="007E1D25"/>
    <w:rsid w:val="007E276E"/>
    <w:rsid w:val="007E5E9A"/>
    <w:rsid w:val="007E6A0D"/>
    <w:rsid w:val="007F1E8F"/>
    <w:rsid w:val="007F4136"/>
    <w:rsid w:val="007F4F91"/>
    <w:rsid w:val="007F50E5"/>
    <w:rsid w:val="00801F91"/>
    <w:rsid w:val="00807D3E"/>
    <w:rsid w:val="00815549"/>
    <w:rsid w:val="00816C3F"/>
    <w:rsid w:val="00817438"/>
    <w:rsid w:val="00820F9B"/>
    <w:rsid w:val="00821B78"/>
    <w:rsid w:val="00822C11"/>
    <w:rsid w:val="00825F84"/>
    <w:rsid w:val="0082670B"/>
    <w:rsid w:val="00826C7D"/>
    <w:rsid w:val="00826E1D"/>
    <w:rsid w:val="00830339"/>
    <w:rsid w:val="008322F7"/>
    <w:rsid w:val="008332DD"/>
    <w:rsid w:val="00833B68"/>
    <w:rsid w:val="00835E44"/>
    <w:rsid w:val="00842957"/>
    <w:rsid w:val="0084320B"/>
    <w:rsid w:val="008432FC"/>
    <w:rsid w:val="008446FE"/>
    <w:rsid w:val="00856509"/>
    <w:rsid w:val="00860D72"/>
    <w:rsid w:val="00860E25"/>
    <w:rsid w:val="00862B92"/>
    <w:rsid w:val="00864323"/>
    <w:rsid w:val="008651A8"/>
    <w:rsid w:val="00870A39"/>
    <w:rsid w:val="0088522E"/>
    <w:rsid w:val="00885634"/>
    <w:rsid w:val="00885D0C"/>
    <w:rsid w:val="00892423"/>
    <w:rsid w:val="008937F7"/>
    <w:rsid w:val="00893BD5"/>
    <w:rsid w:val="008A0F64"/>
    <w:rsid w:val="008A25ED"/>
    <w:rsid w:val="008A34AA"/>
    <w:rsid w:val="008A38AB"/>
    <w:rsid w:val="008A74B0"/>
    <w:rsid w:val="008B0C8D"/>
    <w:rsid w:val="008B1D17"/>
    <w:rsid w:val="008B20AA"/>
    <w:rsid w:val="008B372B"/>
    <w:rsid w:val="008C0DBE"/>
    <w:rsid w:val="008C17F4"/>
    <w:rsid w:val="008C1D9F"/>
    <w:rsid w:val="008C2D77"/>
    <w:rsid w:val="008C6252"/>
    <w:rsid w:val="008C6E50"/>
    <w:rsid w:val="008D3976"/>
    <w:rsid w:val="008E252E"/>
    <w:rsid w:val="008E31DD"/>
    <w:rsid w:val="008E63CB"/>
    <w:rsid w:val="008F4166"/>
    <w:rsid w:val="008F6889"/>
    <w:rsid w:val="009014BB"/>
    <w:rsid w:val="00901532"/>
    <w:rsid w:val="00903097"/>
    <w:rsid w:val="00905111"/>
    <w:rsid w:val="00906149"/>
    <w:rsid w:val="00906F88"/>
    <w:rsid w:val="00910940"/>
    <w:rsid w:val="009125B5"/>
    <w:rsid w:val="00914DE2"/>
    <w:rsid w:val="009158BC"/>
    <w:rsid w:val="00916619"/>
    <w:rsid w:val="00917893"/>
    <w:rsid w:val="00922C21"/>
    <w:rsid w:val="00923AE7"/>
    <w:rsid w:val="00924D1B"/>
    <w:rsid w:val="0092546B"/>
    <w:rsid w:val="00934BE6"/>
    <w:rsid w:val="00935355"/>
    <w:rsid w:val="00936426"/>
    <w:rsid w:val="00947DB1"/>
    <w:rsid w:val="00952B02"/>
    <w:rsid w:val="00964F65"/>
    <w:rsid w:val="00965891"/>
    <w:rsid w:val="00966E7C"/>
    <w:rsid w:val="00970E4E"/>
    <w:rsid w:val="00971D26"/>
    <w:rsid w:val="00973503"/>
    <w:rsid w:val="0097445D"/>
    <w:rsid w:val="0097770C"/>
    <w:rsid w:val="009805A1"/>
    <w:rsid w:val="00985C16"/>
    <w:rsid w:val="00987648"/>
    <w:rsid w:val="00990455"/>
    <w:rsid w:val="00995F40"/>
    <w:rsid w:val="009A1DF2"/>
    <w:rsid w:val="009A6149"/>
    <w:rsid w:val="009A67E1"/>
    <w:rsid w:val="009B2429"/>
    <w:rsid w:val="009B2569"/>
    <w:rsid w:val="009B3130"/>
    <w:rsid w:val="009B43D6"/>
    <w:rsid w:val="009B51E4"/>
    <w:rsid w:val="009B5AF5"/>
    <w:rsid w:val="009C1700"/>
    <w:rsid w:val="009C3D1C"/>
    <w:rsid w:val="009C5B58"/>
    <w:rsid w:val="009D1323"/>
    <w:rsid w:val="009D24A5"/>
    <w:rsid w:val="009D30C5"/>
    <w:rsid w:val="009D3B55"/>
    <w:rsid w:val="009D42E8"/>
    <w:rsid w:val="009D54DD"/>
    <w:rsid w:val="009D7D1D"/>
    <w:rsid w:val="009E04AB"/>
    <w:rsid w:val="009E2A57"/>
    <w:rsid w:val="009F0111"/>
    <w:rsid w:val="009F3AF4"/>
    <w:rsid w:val="009F44C0"/>
    <w:rsid w:val="009F48FB"/>
    <w:rsid w:val="00A005E9"/>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4179"/>
    <w:rsid w:val="00A24957"/>
    <w:rsid w:val="00A302B8"/>
    <w:rsid w:val="00A31CEE"/>
    <w:rsid w:val="00A35FDD"/>
    <w:rsid w:val="00A42300"/>
    <w:rsid w:val="00A43507"/>
    <w:rsid w:val="00A44366"/>
    <w:rsid w:val="00A52995"/>
    <w:rsid w:val="00A5424F"/>
    <w:rsid w:val="00A56C6E"/>
    <w:rsid w:val="00A60D5C"/>
    <w:rsid w:val="00A61240"/>
    <w:rsid w:val="00A61A84"/>
    <w:rsid w:val="00A646B7"/>
    <w:rsid w:val="00A648F9"/>
    <w:rsid w:val="00A656AC"/>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2CBB"/>
    <w:rsid w:val="00AB039C"/>
    <w:rsid w:val="00AB1830"/>
    <w:rsid w:val="00AB3495"/>
    <w:rsid w:val="00AB621E"/>
    <w:rsid w:val="00AC042A"/>
    <w:rsid w:val="00AC1F06"/>
    <w:rsid w:val="00AC35DA"/>
    <w:rsid w:val="00AC6123"/>
    <w:rsid w:val="00AD17F9"/>
    <w:rsid w:val="00AD261F"/>
    <w:rsid w:val="00AD3B9A"/>
    <w:rsid w:val="00AD6CCB"/>
    <w:rsid w:val="00AE3819"/>
    <w:rsid w:val="00AF0A2F"/>
    <w:rsid w:val="00AF2D7A"/>
    <w:rsid w:val="00AF34E9"/>
    <w:rsid w:val="00AF418F"/>
    <w:rsid w:val="00AF501D"/>
    <w:rsid w:val="00AF5731"/>
    <w:rsid w:val="00B0213C"/>
    <w:rsid w:val="00B03004"/>
    <w:rsid w:val="00B14F53"/>
    <w:rsid w:val="00B15E16"/>
    <w:rsid w:val="00B169C6"/>
    <w:rsid w:val="00B16F1E"/>
    <w:rsid w:val="00B17F4D"/>
    <w:rsid w:val="00B20A56"/>
    <w:rsid w:val="00B20E32"/>
    <w:rsid w:val="00B22E31"/>
    <w:rsid w:val="00B25C94"/>
    <w:rsid w:val="00B260EF"/>
    <w:rsid w:val="00B33409"/>
    <w:rsid w:val="00B377EE"/>
    <w:rsid w:val="00B41700"/>
    <w:rsid w:val="00B503A1"/>
    <w:rsid w:val="00B546A7"/>
    <w:rsid w:val="00B63DCD"/>
    <w:rsid w:val="00B66C47"/>
    <w:rsid w:val="00B678AE"/>
    <w:rsid w:val="00B734A4"/>
    <w:rsid w:val="00B7373D"/>
    <w:rsid w:val="00B7481B"/>
    <w:rsid w:val="00B7575B"/>
    <w:rsid w:val="00B75E88"/>
    <w:rsid w:val="00B76583"/>
    <w:rsid w:val="00B818D8"/>
    <w:rsid w:val="00B8309A"/>
    <w:rsid w:val="00B8531E"/>
    <w:rsid w:val="00B85CE5"/>
    <w:rsid w:val="00B90BA8"/>
    <w:rsid w:val="00B92E98"/>
    <w:rsid w:val="00B95352"/>
    <w:rsid w:val="00B96EF2"/>
    <w:rsid w:val="00BA025C"/>
    <w:rsid w:val="00BA05C3"/>
    <w:rsid w:val="00BA3190"/>
    <w:rsid w:val="00BA5D76"/>
    <w:rsid w:val="00BA7AE8"/>
    <w:rsid w:val="00BB0F72"/>
    <w:rsid w:val="00BC30A4"/>
    <w:rsid w:val="00BD0A78"/>
    <w:rsid w:val="00BD317C"/>
    <w:rsid w:val="00BD4012"/>
    <w:rsid w:val="00BD56EA"/>
    <w:rsid w:val="00BD571A"/>
    <w:rsid w:val="00BD63F8"/>
    <w:rsid w:val="00BD6CAF"/>
    <w:rsid w:val="00BE153E"/>
    <w:rsid w:val="00BE15F2"/>
    <w:rsid w:val="00BE505A"/>
    <w:rsid w:val="00BF1AF8"/>
    <w:rsid w:val="00BF1B17"/>
    <w:rsid w:val="00BF236B"/>
    <w:rsid w:val="00BF3950"/>
    <w:rsid w:val="00BF446B"/>
    <w:rsid w:val="00BF4FCC"/>
    <w:rsid w:val="00BF79CD"/>
    <w:rsid w:val="00C01643"/>
    <w:rsid w:val="00C05A89"/>
    <w:rsid w:val="00C144C8"/>
    <w:rsid w:val="00C15A9A"/>
    <w:rsid w:val="00C16CFB"/>
    <w:rsid w:val="00C2241D"/>
    <w:rsid w:val="00C2696C"/>
    <w:rsid w:val="00C34369"/>
    <w:rsid w:val="00C37220"/>
    <w:rsid w:val="00C378F1"/>
    <w:rsid w:val="00C37AB3"/>
    <w:rsid w:val="00C41CA4"/>
    <w:rsid w:val="00C43F2E"/>
    <w:rsid w:val="00C45FC0"/>
    <w:rsid w:val="00C466DC"/>
    <w:rsid w:val="00C523A6"/>
    <w:rsid w:val="00C54FB9"/>
    <w:rsid w:val="00C57553"/>
    <w:rsid w:val="00C602D7"/>
    <w:rsid w:val="00C61305"/>
    <w:rsid w:val="00C62404"/>
    <w:rsid w:val="00C64881"/>
    <w:rsid w:val="00C656AE"/>
    <w:rsid w:val="00C66780"/>
    <w:rsid w:val="00C6711A"/>
    <w:rsid w:val="00C674EC"/>
    <w:rsid w:val="00C7136A"/>
    <w:rsid w:val="00C71602"/>
    <w:rsid w:val="00C71A7C"/>
    <w:rsid w:val="00C72130"/>
    <w:rsid w:val="00C74078"/>
    <w:rsid w:val="00C7614F"/>
    <w:rsid w:val="00C76273"/>
    <w:rsid w:val="00C76560"/>
    <w:rsid w:val="00C76DE9"/>
    <w:rsid w:val="00C86DB6"/>
    <w:rsid w:val="00C86E29"/>
    <w:rsid w:val="00C9025C"/>
    <w:rsid w:val="00C91E59"/>
    <w:rsid w:val="00C97E2D"/>
    <w:rsid w:val="00CA1407"/>
    <w:rsid w:val="00CA325A"/>
    <w:rsid w:val="00CA6DDE"/>
    <w:rsid w:val="00CA7888"/>
    <w:rsid w:val="00CB0B83"/>
    <w:rsid w:val="00CB1C91"/>
    <w:rsid w:val="00CB6117"/>
    <w:rsid w:val="00CB630B"/>
    <w:rsid w:val="00CB6878"/>
    <w:rsid w:val="00CC26C6"/>
    <w:rsid w:val="00CC41EB"/>
    <w:rsid w:val="00CC6F25"/>
    <w:rsid w:val="00CC706E"/>
    <w:rsid w:val="00CD11E2"/>
    <w:rsid w:val="00CD3014"/>
    <w:rsid w:val="00CD3056"/>
    <w:rsid w:val="00CD7FBD"/>
    <w:rsid w:val="00CE14FE"/>
    <w:rsid w:val="00CE2137"/>
    <w:rsid w:val="00CE24B5"/>
    <w:rsid w:val="00CE3AF5"/>
    <w:rsid w:val="00CE4C78"/>
    <w:rsid w:val="00CF0733"/>
    <w:rsid w:val="00CF5055"/>
    <w:rsid w:val="00CF715C"/>
    <w:rsid w:val="00CF7322"/>
    <w:rsid w:val="00D0010E"/>
    <w:rsid w:val="00D00F45"/>
    <w:rsid w:val="00D00FC4"/>
    <w:rsid w:val="00D04A8E"/>
    <w:rsid w:val="00D0799D"/>
    <w:rsid w:val="00D1089B"/>
    <w:rsid w:val="00D126AA"/>
    <w:rsid w:val="00D13D16"/>
    <w:rsid w:val="00D15819"/>
    <w:rsid w:val="00D26305"/>
    <w:rsid w:val="00D312D4"/>
    <w:rsid w:val="00D33A36"/>
    <w:rsid w:val="00D402FC"/>
    <w:rsid w:val="00D4227C"/>
    <w:rsid w:val="00D42C68"/>
    <w:rsid w:val="00D43E2F"/>
    <w:rsid w:val="00D513DF"/>
    <w:rsid w:val="00D5298B"/>
    <w:rsid w:val="00D535DB"/>
    <w:rsid w:val="00D55853"/>
    <w:rsid w:val="00D56E97"/>
    <w:rsid w:val="00D570F9"/>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1A6A"/>
    <w:rsid w:val="00D93383"/>
    <w:rsid w:val="00D9393A"/>
    <w:rsid w:val="00D9715E"/>
    <w:rsid w:val="00D97A66"/>
    <w:rsid w:val="00DA764E"/>
    <w:rsid w:val="00DB00CB"/>
    <w:rsid w:val="00DB1E70"/>
    <w:rsid w:val="00DB3357"/>
    <w:rsid w:val="00DC0405"/>
    <w:rsid w:val="00DC091F"/>
    <w:rsid w:val="00DC1D93"/>
    <w:rsid w:val="00DC549D"/>
    <w:rsid w:val="00DC56E7"/>
    <w:rsid w:val="00DD0735"/>
    <w:rsid w:val="00DD2B14"/>
    <w:rsid w:val="00DD473D"/>
    <w:rsid w:val="00DD531F"/>
    <w:rsid w:val="00DD6811"/>
    <w:rsid w:val="00DD7BD2"/>
    <w:rsid w:val="00DE24A1"/>
    <w:rsid w:val="00DE4389"/>
    <w:rsid w:val="00DF296A"/>
    <w:rsid w:val="00DF3B71"/>
    <w:rsid w:val="00DF4B59"/>
    <w:rsid w:val="00DF5714"/>
    <w:rsid w:val="00DF681E"/>
    <w:rsid w:val="00E00A2B"/>
    <w:rsid w:val="00E00D87"/>
    <w:rsid w:val="00E027F3"/>
    <w:rsid w:val="00E0294F"/>
    <w:rsid w:val="00E032DD"/>
    <w:rsid w:val="00E03533"/>
    <w:rsid w:val="00E0362D"/>
    <w:rsid w:val="00E05674"/>
    <w:rsid w:val="00E10712"/>
    <w:rsid w:val="00E13763"/>
    <w:rsid w:val="00E23E58"/>
    <w:rsid w:val="00E24026"/>
    <w:rsid w:val="00E33043"/>
    <w:rsid w:val="00E47905"/>
    <w:rsid w:val="00E5304A"/>
    <w:rsid w:val="00E5462B"/>
    <w:rsid w:val="00E55275"/>
    <w:rsid w:val="00E567CB"/>
    <w:rsid w:val="00E60FC8"/>
    <w:rsid w:val="00E651A3"/>
    <w:rsid w:val="00E651DE"/>
    <w:rsid w:val="00E666C1"/>
    <w:rsid w:val="00E702BA"/>
    <w:rsid w:val="00E70A5E"/>
    <w:rsid w:val="00E72307"/>
    <w:rsid w:val="00E72EB0"/>
    <w:rsid w:val="00E74B0A"/>
    <w:rsid w:val="00E76174"/>
    <w:rsid w:val="00E7627C"/>
    <w:rsid w:val="00E764C2"/>
    <w:rsid w:val="00E817A2"/>
    <w:rsid w:val="00E82B03"/>
    <w:rsid w:val="00E84728"/>
    <w:rsid w:val="00E84CB8"/>
    <w:rsid w:val="00E8610D"/>
    <w:rsid w:val="00E90C78"/>
    <w:rsid w:val="00E9147A"/>
    <w:rsid w:val="00E9281F"/>
    <w:rsid w:val="00E9440E"/>
    <w:rsid w:val="00E94945"/>
    <w:rsid w:val="00E95868"/>
    <w:rsid w:val="00E96583"/>
    <w:rsid w:val="00E97567"/>
    <w:rsid w:val="00EA33CB"/>
    <w:rsid w:val="00EA6751"/>
    <w:rsid w:val="00EB4482"/>
    <w:rsid w:val="00EB49A5"/>
    <w:rsid w:val="00EB5496"/>
    <w:rsid w:val="00EB5C55"/>
    <w:rsid w:val="00EB5E9B"/>
    <w:rsid w:val="00EB7160"/>
    <w:rsid w:val="00EB7CE3"/>
    <w:rsid w:val="00EC248D"/>
    <w:rsid w:val="00EC4125"/>
    <w:rsid w:val="00EC4648"/>
    <w:rsid w:val="00EC7A05"/>
    <w:rsid w:val="00ED17DF"/>
    <w:rsid w:val="00ED2B78"/>
    <w:rsid w:val="00ED64F0"/>
    <w:rsid w:val="00ED678E"/>
    <w:rsid w:val="00ED7A5F"/>
    <w:rsid w:val="00EE22FB"/>
    <w:rsid w:val="00EE435F"/>
    <w:rsid w:val="00EE777A"/>
    <w:rsid w:val="00EF1239"/>
    <w:rsid w:val="00EF1FB2"/>
    <w:rsid w:val="00EF5035"/>
    <w:rsid w:val="00F00700"/>
    <w:rsid w:val="00F03E8D"/>
    <w:rsid w:val="00F049A0"/>
    <w:rsid w:val="00F062AF"/>
    <w:rsid w:val="00F06960"/>
    <w:rsid w:val="00F101F2"/>
    <w:rsid w:val="00F104FE"/>
    <w:rsid w:val="00F12CB3"/>
    <w:rsid w:val="00F12FF6"/>
    <w:rsid w:val="00F312EE"/>
    <w:rsid w:val="00F34491"/>
    <w:rsid w:val="00F37B3A"/>
    <w:rsid w:val="00F437F0"/>
    <w:rsid w:val="00F5252A"/>
    <w:rsid w:val="00F55025"/>
    <w:rsid w:val="00F56F34"/>
    <w:rsid w:val="00F57028"/>
    <w:rsid w:val="00F5769D"/>
    <w:rsid w:val="00F632BB"/>
    <w:rsid w:val="00F65107"/>
    <w:rsid w:val="00F651A0"/>
    <w:rsid w:val="00F6557A"/>
    <w:rsid w:val="00F6592D"/>
    <w:rsid w:val="00F742C9"/>
    <w:rsid w:val="00F75BFF"/>
    <w:rsid w:val="00F83188"/>
    <w:rsid w:val="00F837BB"/>
    <w:rsid w:val="00F83E3C"/>
    <w:rsid w:val="00F853BF"/>
    <w:rsid w:val="00F86020"/>
    <w:rsid w:val="00F93DEC"/>
    <w:rsid w:val="00F97DA6"/>
    <w:rsid w:val="00FA01C6"/>
    <w:rsid w:val="00FA1735"/>
    <w:rsid w:val="00FA6BA4"/>
    <w:rsid w:val="00FA79B3"/>
    <w:rsid w:val="00FB4B87"/>
    <w:rsid w:val="00FC0700"/>
    <w:rsid w:val="00FC2F6E"/>
    <w:rsid w:val="00FC2FA5"/>
    <w:rsid w:val="00FC36DC"/>
    <w:rsid w:val="00FC4DB4"/>
    <w:rsid w:val="00FC611D"/>
    <w:rsid w:val="00FC7EAB"/>
    <w:rsid w:val="00FD02FB"/>
    <w:rsid w:val="00FD213A"/>
    <w:rsid w:val="00FD37B4"/>
    <w:rsid w:val="00FD3AB3"/>
    <w:rsid w:val="00FD5F80"/>
    <w:rsid w:val="00FE0BEA"/>
    <w:rsid w:val="00FE1C93"/>
    <w:rsid w:val="00FF5608"/>
    <w:rsid w:val="00FF5C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Balk1">
    <w:name w:val="heading 1"/>
    <w:basedOn w:val="Normal"/>
    <w:next w:val="Normal"/>
    <w:link w:val="Balk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C3D1C"/>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9C3D1C"/>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9C3D1C"/>
    <w:rPr>
      <w:rFonts w:ascii="Cambria" w:hAnsi="Cambria" w:cs="Cambria"/>
      <w:b/>
      <w:bCs/>
      <w:sz w:val="26"/>
      <w:szCs w:val="26"/>
    </w:rPr>
  </w:style>
  <w:style w:type="table" w:styleId="TabloKlavuzu">
    <w:name w:val="Table Grid"/>
    <w:basedOn w:val="NormalTablo"/>
    <w:uiPriority w:val="99"/>
    <w:rsid w:val="00197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customStyle="1" w:styleId="DipnotMetniChar">
    <w:name w:val="Dipnot Metni Char"/>
    <w:basedOn w:val="VarsaylanParagrafYazTipi"/>
    <w:link w:val="DipnotMetni"/>
    <w:uiPriority w:val="99"/>
    <w:semiHidden/>
    <w:locked/>
    <w:rsid w:val="00522063"/>
    <w:rPr>
      <w:lang w:val="tr-TR" w:eastAsia="tr-TR"/>
    </w:rPr>
  </w:style>
  <w:style w:type="character" w:styleId="DipnotBavurusu">
    <w:name w:val="footnote reference"/>
    <w:basedOn w:val="VarsaylanParagrafYazTipi"/>
    <w:uiPriority w:val="99"/>
    <w:semiHidden/>
    <w:rsid w:val="00D0799D"/>
    <w:rPr>
      <w:vertAlign w:val="superscript"/>
    </w:rPr>
  </w:style>
  <w:style w:type="character" w:styleId="Kpr">
    <w:name w:val="Hyperlink"/>
    <w:basedOn w:val="VarsaylanParagrafYazTipi"/>
    <w:uiPriority w:val="99"/>
    <w:rsid w:val="007522D9"/>
    <w:rPr>
      <w:color w:val="0000FF"/>
      <w:u w:val="single"/>
    </w:rPr>
  </w:style>
  <w:style w:type="paragraph" w:styleId="Altbilgi">
    <w:name w:val="footer"/>
    <w:basedOn w:val="Normal"/>
    <w:link w:val="AltbilgiChar"/>
    <w:uiPriority w:val="99"/>
    <w:rsid w:val="007B51E3"/>
    <w:pPr>
      <w:tabs>
        <w:tab w:val="center" w:pos="4536"/>
        <w:tab w:val="right" w:pos="9072"/>
      </w:tabs>
    </w:pPr>
  </w:style>
  <w:style w:type="character" w:customStyle="1" w:styleId="AltbilgiChar">
    <w:name w:val="Altbilgi Char"/>
    <w:basedOn w:val="VarsaylanParagrafYazTipi"/>
    <w:link w:val="Altbilgi"/>
    <w:uiPriority w:val="99"/>
    <w:semiHidden/>
    <w:locked/>
    <w:rsid w:val="009C3D1C"/>
    <w:rPr>
      <w:sz w:val="24"/>
      <w:szCs w:val="24"/>
    </w:rPr>
  </w:style>
  <w:style w:type="character" w:styleId="SayfaNumaras">
    <w:name w:val="page number"/>
    <w:basedOn w:val="VarsaylanParagrafYazTipi"/>
    <w:uiPriority w:val="99"/>
    <w:rsid w:val="007B51E3"/>
  </w:style>
  <w:style w:type="paragraph" w:styleId="stbilgi">
    <w:name w:val="header"/>
    <w:basedOn w:val="Normal"/>
    <w:link w:val="stbilgiChar"/>
    <w:uiPriority w:val="99"/>
    <w:rsid w:val="007B51E3"/>
    <w:pPr>
      <w:tabs>
        <w:tab w:val="center" w:pos="4536"/>
        <w:tab w:val="right" w:pos="9072"/>
      </w:tabs>
    </w:pPr>
  </w:style>
  <w:style w:type="character" w:customStyle="1" w:styleId="stbilgiChar">
    <w:name w:val="Üstbilgi Char"/>
    <w:basedOn w:val="VarsaylanParagrafYazTipi"/>
    <w:link w:val="stbilgi"/>
    <w:uiPriority w:val="99"/>
    <w:semiHidden/>
    <w:locked/>
    <w:rsid w:val="009C3D1C"/>
    <w:rPr>
      <w:sz w:val="24"/>
      <w:szCs w:val="24"/>
    </w:rPr>
  </w:style>
  <w:style w:type="paragraph" w:styleId="BalonMetni">
    <w:name w:val="Balloon Text"/>
    <w:basedOn w:val="Normal"/>
    <w:link w:val="BalonMetniChar"/>
    <w:uiPriority w:val="99"/>
    <w:semiHidden/>
    <w:rsid w:val="00526CC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C3D1C"/>
    <w:rPr>
      <w:sz w:val="2"/>
      <w:szCs w:val="2"/>
    </w:rPr>
  </w:style>
  <w:style w:type="character" w:styleId="SatrNumaras">
    <w:name w:val="line number"/>
    <w:basedOn w:val="VarsaylanParagrafYazTipi"/>
    <w:uiPriority w:val="99"/>
    <w:semiHidden/>
    <w:rsid w:val="000F0C2B"/>
  </w:style>
  <w:style w:type="paragraph" w:styleId="ListeParagraf">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1437629072">
      <w:marLeft w:val="0"/>
      <w:marRight w:val="0"/>
      <w:marTop w:val="0"/>
      <w:marBottom w:val="0"/>
      <w:divBdr>
        <w:top w:val="none" w:sz="0" w:space="0" w:color="auto"/>
        <w:left w:val="none" w:sz="0" w:space="0" w:color="auto"/>
        <w:bottom w:val="none" w:sz="0" w:space="0" w:color="auto"/>
        <w:right w:val="none" w:sz="0" w:space="0" w:color="auto"/>
      </w:divBdr>
    </w:div>
    <w:div w:id="1437629073">
      <w:marLeft w:val="0"/>
      <w:marRight w:val="0"/>
      <w:marTop w:val="0"/>
      <w:marBottom w:val="0"/>
      <w:divBdr>
        <w:top w:val="none" w:sz="0" w:space="0" w:color="auto"/>
        <w:left w:val="none" w:sz="0" w:space="0" w:color="auto"/>
        <w:bottom w:val="none" w:sz="0" w:space="0" w:color="auto"/>
        <w:right w:val="none" w:sz="0" w:space="0" w:color="auto"/>
      </w:divBdr>
    </w:div>
    <w:div w:id="1437629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baris.soybilgen@bahcesehir.edu.tr" TargetMode="External"/><Relationship Id="rId4" Type="http://schemas.openxmlformats.org/officeDocument/2006/relationships/webSettings" Target="webSettings.xml"/><Relationship Id="rId9" Type="http://schemas.openxmlformats.org/officeDocument/2006/relationships/hyperlink" Target="mailto:zumrut.imamoglu@bahcesehir.edu.t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1437</Words>
  <Characters>8191</Characters>
  <Application>Microsoft Office Word</Application>
  <DocSecurity>0</DocSecurity>
  <Lines>68</Lines>
  <Paragraphs>19</Paragraphs>
  <ScaleCrop>false</ScaleCrop>
  <Company>unv</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merve.akgul</cp:lastModifiedBy>
  <cp:revision>3</cp:revision>
  <cp:lastPrinted>2013-03-19T07:49:00Z</cp:lastPrinted>
  <dcterms:created xsi:type="dcterms:W3CDTF">2013-03-19T10:00:00Z</dcterms:created>
  <dcterms:modified xsi:type="dcterms:W3CDTF">2013-03-19T10:03:00Z</dcterms:modified>
</cp:coreProperties>
</file>