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3C" w:rsidRPr="00526178" w:rsidRDefault="002C6A36" w:rsidP="00966AE8">
      <w:pPr>
        <w:pStyle w:val="Balk1"/>
        <w:numPr>
          <w:ilvl w:val="0"/>
          <w:numId w:val="0"/>
        </w:numPr>
        <w:jc w:val="left"/>
        <w:rPr>
          <w:rFonts w:ascii="Times New Roman" w:hAnsi="Times New Roman" w:cs="Times New Roman"/>
          <w:sz w:val="52"/>
          <w:szCs w:val="52"/>
        </w:rPr>
      </w:pPr>
      <w:r w:rsidRPr="002C6A36">
        <w:rPr>
          <w:noProof/>
          <w:lang w:eastAsia="tr-TR"/>
        </w:rPr>
        <w:pict>
          <v:shapetype id="_x0000_t202" coordsize="21600,21600" o:spt="202" path="m,l,21600r21600,l21600,xe">
            <v:stroke joinstyle="miter"/>
            <v:path gradientshapeok="t" o:connecttype="rect"/>
          </v:shapetype>
          <v:shape id="_x0000_s1026" type="#_x0000_t202" style="position:absolute;margin-left:361.15pt;margin-top:9pt;width:151.65pt;height:35.8pt;z-index:251658240;mso-wrap-distance-left:9.05pt;mso-wrap-distance-right:9.05pt" stroked="f">
            <v:fill opacity="0" color2="black"/>
            <v:textbox style="mso-next-textbox:#_x0000_s1026" inset="0,0,0,0">
              <w:txbxContent>
                <w:p w:rsidR="00821CCB" w:rsidRDefault="003556EF" w:rsidP="00966AE8">
                  <w:pPr>
                    <w:pStyle w:val="Balk3"/>
                  </w:pPr>
                  <w:r>
                    <w:rPr>
                      <w:color w:val="FFFFFF"/>
                      <w:sz w:val="22"/>
                      <w:szCs w:val="22"/>
                      <w:lang w:val="tr-TR"/>
                    </w:rPr>
                    <w:t xml:space="preserve">       6 Şubat</w:t>
                  </w:r>
                  <w:r w:rsidR="00821CCB">
                    <w:rPr>
                      <w:color w:val="FFFFFF"/>
                      <w:sz w:val="22"/>
                      <w:szCs w:val="22"/>
                      <w:lang w:val="tr-TR"/>
                    </w:rPr>
                    <w:t xml:space="preserve"> 2013</w:t>
                  </w:r>
                </w:p>
              </w:txbxContent>
            </v:textbox>
          </v:shape>
        </w:pict>
      </w:r>
      <w:r w:rsidRPr="002C6A36">
        <w:rPr>
          <w:noProof/>
          <w:lang w:eastAsia="tr-TR"/>
        </w:rPr>
        <w:pict>
          <v:shape id="_x0000_s1027" type="#_x0000_t202" style="position:absolute;margin-left:117pt;margin-top:-36pt;width:312.1pt;height:44.8pt;z-index:251657216;mso-wrap-distance-left:9.05pt;mso-wrap-distance-right:9.05pt" stroked="f">
            <v:fill opacity="0" color2="black"/>
            <v:textbox style="mso-next-textbox:#_x0000_s1027" inset="0,0,0,0">
              <w:txbxContent>
                <w:p w:rsidR="00821CCB" w:rsidRPr="00526178" w:rsidRDefault="00821CCB" w:rsidP="00966AE8">
                  <w:pPr>
                    <w:pStyle w:val="Balk1"/>
                    <w:rPr>
                      <w:rFonts w:ascii="Times New Roman" w:hAnsi="Times New Roman" w:cs="Times New Roman"/>
                      <w:sz w:val="52"/>
                      <w:szCs w:val="52"/>
                    </w:rPr>
                  </w:pPr>
                  <w:r w:rsidRPr="00526178">
                    <w:rPr>
                      <w:rFonts w:ascii="Times New Roman" w:hAnsi="Times New Roman" w:cs="Times New Roman"/>
                      <w:sz w:val="52"/>
                      <w:szCs w:val="52"/>
                    </w:rPr>
                    <w:t>Ara</w:t>
                  </w:r>
                  <w:r>
                    <w:rPr>
                      <w:rFonts w:ascii="Times New Roman" w:hAnsi="Times New Roman" w:cs="Times New Roman"/>
                      <w:sz w:val="52"/>
                      <w:szCs w:val="52"/>
                    </w:rPr>
                    <w:t>ştırma</w:t>
                  </w:r>
                  <w:r w:rsidRPr="00526178">
                    <w:rPr>
                      <w:rFonts w:ascii="Times New Roman" w:hAnsi="Times New Roman" w:cs="Times New Roman"/>
                      <w:sz w:val="52"/>
                      <w:szCs w:val="52"/>
                    </w:rPr>
                    <w:t xml:space="preserve"> Notu </w:t>
                  </w:r>
                  <w:r>
                    <w:rPr>
                      <w:rFonts w:ascii="Times New Roman" w:hAnsi="Times New Roman" w:cs="Times New Roman"/>
                      <w:sz w:val="52"/>
                      <w:szCs w:val="52"/>
                    </w:rPr>
                    <w:t>1</w:t>
                  </w:r>
                  <w:r w:rsidR="00095931">
                    <w:rPr>
                      <w:rFonts w:ascii="Times New Roman" w:hAnsi="Times New Roman" w:cs="Times New Roman"/>
                      <w:sz w:val="52"/>
                      <w:szCs w:val="52"/>
                    </w:rPr>
                    <w:t>3</w:t>
                  </w:r>
                  <w:r>
                    <w:rPr>
                      <w:rFonts w:ascii="Times New Roman" w:hAnsi="Times New Roman" w:cs="Times New Roman"/>
                      <w:sz w:val="52"/>
                      <w:szCs w:val="52"/>
                    </w:rPr>
                    <w:t>/</w:t>
                  </w:r>
                  <w:r w:rsidR="00095931">
                    <w:rPr>
                      <w:rFonts w:ascii="Times New Roman" w:hAnsi="Times New Roman" w:cs="Times New Roman"/>
                      <w:sz w:val="52"/>
                      <w:szCs w:val="52"/>
                    </w:rPr>
                    <w:t>143</w:t>
                  </w:r>
                </w:p>
                <w:p w:rsidR="00821CCB" w:rsidRPr="00526178" w:rsidRDefault="00821CCB" w:rsidP="00966AE8">
                  <w:pPr>
                    <w:pStyle w:val="Balk2"/>
                    <w:rPr>
                      <w:b w:val="0"/>
                      <w:bCs w:val="0"/>
                      <w:i w:val="0"/>
                      <w:iCs w:val="0"/>
                    </w:rPr>
                  </w:pPr>
                </w:p>
              </w:txbxContent>
            </v:textbox>
          </v:shape>
        </w:pict>
      </w:r>
      <w:r w:rsidR="00821ACA">
        <w:rPr>
          <w:noProof/>
          <w:lang w:eastAsia="tr-TR"/>
        </w:rPr>
        <w:drawing>
          <wp:anchor distT="0" distB="0" distL="114300" distR="114300" simplePos="0" relativeHeight="251659264"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7315200" cy="1330325"/>
                    </a:xfrm>
                    <a:prstGeom prst="rect">
                      <a:avLst/>
                    </a:prstGeom>
                    <a:noFill/>
                  </pic:spPr>
                </pic:pic>
              </a:graphicData>
            </a:graphic>
          </wp:anchor>
        </w:drawing>
      </w:r>
    </w:p>
    <w:p w:rsidR="0094383C" w:rsidRDefault="002C6A36" w:rsidP="00966AE8">
      <w:pPr>
        <w:tabs>
          <w:tab w:val="center" w:pos="4536"/>
        </w:tabs>
        <w:rPr>
          <w:rFonts w:ascii="Arial" w:hAnsi="Arial" w:cs="Arial"/>
          <w:b/>
          <w:bCs/>
          <w:sz w:val="20"/>
          <w:szCs w:val="20"/>
        </w:rPr>
      </w:pPr>
      <w:r w:rsidRPr="002C6A36">
        <w:rPr>
          <w:noProof/>
        </w:rPr>
        <w:pict>
          <v:shape id="_x0000_s1029" type="#_x0000_t202" style="position:absolute;margin-left:396pt;margin-top:5.95pt;width:134.8pt;height:8.95pt;z-index:251656192;mso-wrap-distance-left:9.05pt;mso-wrap-distance-right:9.05pt" stroked="f">
            <v:fill opacity="0" color2="black"/>
            <v:textbox style="mso-next-textbox:#_x0000_s1029" inset="0,0,0,0">
              <w:txbxContent>
                <w:p w:rsidR="00821CCB" w:rsidRPr="0015586B" w:rsidRDefault="00821CCB" w:rsidP="00966AE8">
                  <w:pPr>
                    <w:pStyle w:val="Balk3"/>
                    <w:rPr>
                      <w:color w:val="FFFFFF"/>
                      <w:sz w:val="22"/>
                      <w:szCs w:val="22"/>
                      <w:lang w:val="tr-TR"/>
                    </w:rPr>
                  </w:pPr>
                  <w:r>
                    <w:rPr>
                      <w:color w:val="FFFFFF"/>
                      <w:sz w:val="22"/>
                      <w:szCs w:val="22"/>
                      <w:lang w:val="tr-TR"/>
                    </w:rPr>
                    <w:t xml:space="preserve">       7 Mart 2011</w:t>
                  </w:r>
                </w:p>
                <w:p w:rsidR="00821CCB" w:rsidRDefault="00821CCB" w:rsidP="00966AE8"/>
              </w:txbxContent>
            </v:textbox>
          </v:shape>
        </w:pict>
      </w:r>
      <w:r w:rsidR="0094383C">
        <w:rPr>
          <w:rFonts w:ascii="Arial" w:hAnsi="Arial" w:cs="Arial"/>
          <w:b/>
          <w:bCs/>
          <w:sz w:val="20"/>
          <w:szCs w:val="20"/>
        </w:rPr>
        <w:tab/>
      </w:r>
    </w:p>
    <w:p w:rsidR="0094383C" w:rsidRDefault="0094383C" w:rsidP="00134969">
      <w:pPr>
        <w:rPr>
          <w:rFonts w:ascii="Arial" w:hAnsi="Arial" w:cs="Arial"/>
          <w:b/>
          <w:bCs/>
          <w:sz w:val="20"/>
          <w:szCs w:val="20"/>
        </w:rPr>
      </w:pPr>
    </w:p>
    <w:p w:rsidR="0094383C" w:rsidRDefault="0094383C" w:rsidP="00A54A4D">
      <w:pPr>
        <w:tabs>
          <w:tab w:val="left" w:pos="2880"/>
        </w:tabs>
        <w:jc w:val="center"/>
        <w:rPr>
          <w:rFonts w:ascii="Arial" w:hAnsi="Arial" w:cs="Arial"/>
          <w:b/>
          <w:bCs/>
          <w:sz w:val="28"/>
          <w:szCs w:val="28"/>
        </w:rPr>
      </w:pPr>
      <w:r>
        <w:rPr>
          <w:rFonts w:ascii="Arial" w:hAnsi="Arial" w:cs="Arial"/>
          <w:b/>
          <w:bCs/>
          <w:sz w:val="28"/>
          <w:szCs w:val="28"/>
        </w:rPr>
        <w:t>KENTLERDE KADINLARIN İŞGÜCÜNE KATILIMI ARTIYOR</w:t>
      </w:r>
      <w:r w:rsidRPr="001233A6">
        <w:rPr>
          <w:rStyle w:val="DipnotBavurusu"/>
          <w:rFonts w:ascii="Arial" w:hAnsi="Arial" w:cs="Arial"/>
          <w:b/>
          <w:bCs/>
          <w:sz w:val="28"/>
          <w:szCs w:val="28"/>
        </w:rPr>
        <w:footnoteReference w:customMarkFollows="1" w:id="2"/>
        <w:sym w:font="Symbol" w:char="F079"/>
      </w:r>
    </w:p>
    <w:p w:rsidR="0094383C" w:rsidRDefault="0094383C" w:rsidP="00A54A4D">
      <w:pPr>
        <w:tabs>
          <w:tab w:val="left" w:pos="2880"/>
        </w:tabs>
        <w:jc w:val="center"/>
        <w:rPr>
          <w:rFonts w:ascii="Arial" w:hAnsi="Arial" w:cs="Arial"/>
          <w:b/>
          <w:bCs/>
          <w:sz w:val="20"/>
          <w:szCs w:val="20"/>
        </w:rPr>
      </w:pPr>
    </w:p>
    <w:p w:rsidR="0094383C" w:rsidRPr="00A753E5" w:rsidRDefault="0094383C" w:rsidP="00F81DC0">
      <w:pPr>
        <w:jc w:val="center"/>
        <w:rPr>
          <w:rFonts w:ascii="Arial" w:hAnsi="Arial" w:cs="Arial"/>
          <w:b/>
          <w:bCs/>
          <w:sz w:val="20"/>
          <w:szCs w:val="20"/>
        </w:rPr>
      </w:pPr>
      <w:r w:rsidRPr="00A753E5">
        <w:rPr>
          <w:rFonts w:ascii="Arial" w:hAnsi="Arial" w:cs="Arial"/>
          <w:sz w:val="20"/>
          <w:szCs w:val="20"/>
        </w:rPr>
        <w:t>Gökçe Uysal</w:t>
      </w:r>
      <w:r w:rsidRPr="000322DB">
        <w:rPr>
          <w:rStyle w:val="DipnotBavurusu"/>
          <w:rFonts w:ascii="Arial" w:hAnsi="Arial" w:cs="Arial"/>
          <w:sz w:val="20"/>
          <w:szCs w:val="20"/>
        </w:rPr>
        <w:footnoteReference w:customMarkFollows="1" w:id="3"/>
        <w:sym w:font="Symbol" w:char="F02A"/>
      </w:r>
    </w:p>
    <w:p w:rsidR="0094383C" w:rsidRDefault="0094383C" w:rsidP="00A54A4D">
      <w:pPr>
        <w:tabs>
          <w:tab w:val="left" w:pos="2880"/>
        </w:tabs>
        <w:jc w:val="center"/>
        <w:rPr>
          <w:rFonts w:ascii="Arial" w:hAnsi="Arial" w:cs="Arial"/>
          <w:b/>
          <w:bCs/>
          <w:sz w:val="22"/>
          <w:szCs w:val="22"/>
        </w:rPr>
      </w:pPr>
    </w:p>
    <w:p w:rsidR="0094383C" w:rsidRDefault="0094383C" w:rsidP="00A54A4D">
      <w:pPr>
        <w:tabs>
          <w:tab w:val="left" w:pos="2880"/>
        </w:tabs>
        <w:jc w:val="center"/>
        <w:rPr>
          <w:rFonts w:ascii="Arial" w:hAnsi="Arial" w:cs="Arial"/>
          <w:b/>
          <w:bCs/>
          <w:sz w:val="22"/>
          <w:szCs w:val="22"/>
        </w:rPr>
      </w:pPr>
      <w:r>
        <w:rPr>
          <w:rFonts w:ascii="Arial" w:hAnsi="Arial" w:cs="Arial"/>
          <w:b/>
          <w:bCs/>
          <w:sz w:val="22"/>
          <w:szCs w:val="22"/>
        </w:rPr>
        <w:t>Yönetici Özeti</w:t>
      </w:r>
    </w:p>
    <w:p w:rsidR="0094383C" w:rsidRDefault="0094383C" w:rsidP="00A54A4D">
      <w:pPr>
        <w:tabs>
          <w:tab w:val="left" w:pos="2880"/>
        </w:tabs>
        <w:jc w:val="center"/>
        <w:rPr>
          <w:rFonts w:ascii="Arial" w:hAnsi="Arial" w:cs="Arial"/>
          <w:b/>
          <w:bCs/>
          <w:sz w:val="22"/>
          <w:szCs w:val="22"/>
        </w:rPr>
      </w:pPr>
    </w:p>
    <w:p w:rsidR="0094383C" w:rsidRDefault="0094383C" w:rsidP="00966AE8">
      <w:pPr>
        <w:jc w:val="center"/>
        <w:rPr>
          <w:rFonts w:ascii="Arial" w:hAnsi="Arial" w:cs="Arial"/>
          <w:b/>
          <w:bCs/>
          <w:sz w:val="20"/>
          <w:szCs w:val="20"/>
        </w:rPr>
      </w:pPr>
    </w:p>
    <w:p w:rsidR="0094383C" w:rsidRDefault="0094383C" w:rsidP="00982F1C">
      <w:pPr>
        <w:rPr>
          <w:rFonts w:ascii="Arial" w:hAnsi="Arial" w:cs="Arial"/>
          <w:sz w:val="20"/>
          <w:szCs w:val="20"/>
        </w:rPr>
      </w:pPr>
      <w:r>
        <w:rPr>
          <w:rFonts w:ascii="Arial" w:hAnsi="Arial" w:cs="Arial"/>
          <w:sz w:val="20"/>
          <w:szCs w:val="20"/>
        </w:rPr>
        <w:t xml:space="preserve">Yaşlanan nüfusun olumsuz etkilerine dair tartışmalar şimdilik sadece doğurganlık ve çocuk sayısı üzerinde yoğunlaşıyor. Hâlbuki asıl endişe uyandıran mevzu çalışabilir nüfusun, yani insan kaynağının azalmasıdır. Bu da bağımlı nüfusa (çalışamayan nüfus) çalışarak bakabilecek olan nüfusun görece küçülmesi demektir. Bugüne kadar genç nüfusun getirdiği avantajlardan faydalanan Türkiye, insan kaynağını verimli kullanamamaktadır. Çalışabilir nüfusunun yarısını oluşturan kadınların kentlerde işgücüne katılım oranı yüzde 25 civarındadır. Bu bağlamda kadın işgücüne katılım oranlarının artırılması yaşlanan nüfusa karşı geliştirilen politikaların vazgeçilmez bir ekseni olmalıdır.  </w:t>
      </w:r>
    </w:p>
    <w:p w:rsidR="0094383C" w:rsidRDefault="0094383C" w:rsidP="00982F1C">
      <w:pPr>
        <w:rPr>
          <w:rFonts w:ascii="Arial" w:hAnsi="Arial" w:cs="Arial"/>
          <w:sz w:val="20"/>
          <w:szCs w:val="20"/>
        </w:rPr>
      </w:pPr>
      <w:r>
        <w:rPr>
          <w:rFonts w:ascii="Arial" w:hAnsi="Arial" w:cs="Arial"/>
          <w:sz w:val="20"/>
          <w:szCs w:val="20"/>
        </w:rPr>
        <w:t xml:space="preserve"> </w:t>
      </w:r>
    </w:p>
    <w:p w:rsidR="0094383C" w:rsidRDefault="0094383C" w:rsidP="00982F1C">
      <w:pPr>
        <w:rPr>
          <w:rFonts w:ascii="Arial" w:hAnsi="Arial" w:cs="Arial"/>
          <w:sz w:val="20"/>
          <w:szCs w:val="20"/>
        </w:rPr>
      </w:pPr>
      <w:r>
        <w:rPr>
          <w:rFonts w:ascii="Arial" w:hAnsi="Arial" w:cs="Arial"/>
          <w:sz w:val="20"/>
          <w:szCs w:val="20"/>
        </w:rPr>
        <w:t xml:space="preserve">Kentlerde 2004 yılında yüzde 17,8 olan kadın işgücüne katılım oranı 2011 yılında yüzde 24,9’a ulaşmıştır. Aynı dönemde kadınların eğitim seviyeleri artmakta ve buna paralel olarak ilk evlilik ve ilk çocuk doğurma ileriki yaşlara ötelenmektedir. </w:t>
      </w:r>
      <w:r w:rsidRPr="00026D33">
        <w:rPr>
          <w:rFonts w:ascii="Arial" w:hAnsi="Arial" w:cs="Arial"/>
          <w:sz w:val="20"/>
          <w:szCs w:val="20"/>
        </w:rPr>
        <w:t>Bu ve benzeri eğilimler kuşkusuz kadın katılım oranlarında gözlemlenen artışa sebep olabilir. Bu araştırmada yapılan ekonometrik analiz, ka</w:t>
      </w:r>
      <w:r w:rsidR="000066AF">
        <w:rPr>
          <w:rFonts w:ascii="Arial" w:hAnsi="Arial" w:cs="Arial"/>
          <w:sz w:val="20"/>
          <w:szCs w:val="20"/>
        </w:rPr>
        <w:t>dın işgücüne katılım oranlarında</w:t>
      </w:r>
      <w:r w:rsidRPr="00026D33">
        <w:rPr>
          <w:rFonts w:ascii="Arial" w:hAnsi="Arial" w:cs="Arial"/>
          <w:sz w:val="20"/>
          <w:szCs w:val="20"/>
        </w:rPr>
        <w:t xml:space="preserve"> 2004 yılından 2011 yılına gözlemlenen artışın salt yapısal etkenlerle açıklanamadığını göstermektedir.</w:t>
      </w:r>
      <w:r>
        <w:rPr>
          <w:rFonts w:ascii="Arial" w:hAnsi="Arial" w:cs="Arial"/>
          <w:sz w:val="20"/>
          <w:szCs w:val="20"/>
        </w:rPr>
        <w:t xml:space="preserve"> Benzer bir şekilde kentlerde kadın işgücüne katılımında yapısal etkenlerden bağımsız bölgesel farklılıklar olduğu da göze çarpmaktadır. Bu bulgu, kültürel farklılıkların kadın katılımı üzerindeki etkilerine işaret etmektedir.  </w:t>
      </w:r>
    </w:p>
    <w:p w:rsidR="0094383C" w:rsidRDefault="0094383C" w:rsidP="00982F1C">
      <w:pPr>
        <w:rPr>
          <w:rFonts w:ascii="Arial" w:hAnsi="Arial" w:cs="Arial"/>
          <w:sz w:val="20"/>
          <w:szCs w:val="20"/>
        </w:rPr>
      </w:pPr>
    </w:p>
    <w:p w:rsidR="0094383C" w:rsidRDefault="0094383C" w:rsidP="00982F1C">
      <w:pPr>
        <w:rPr>
          <w:rFonts w:ascii="Arial" w:hAnsi="Arial" w:cs="Arial"/>
          <w:sz w:val="20"/>
          <w:szCs w:val="20"/>
        </w:rPr>
      </w:pPr>
      <w:r>
        <w:rPr>
          <w:rFonts w:ascii="Arial" w:hAnsi="Arial" w:cs="Arial"/>
          <w:sz w:val="20"/>
          <w:szCs w:val="20"/>
        </w:rPr>
        <w:t xml:space="preserve">Kadın </w:t>
      </w:r>
      <w:r w:rsidRPr="00A10824">
        <w:rPr>
          <w:rFonts w:ascii="Arial" w:hAnsi="Arial" w:cs="Arial"/>
          <w:sz w:val="20"/>
          <w:szCs w:val="20"/>
        </w:rPr>
        <w:t xml:space="preserve">işgücüne katılım oranlarındaki artışa nelerin sebep olduğuna dair bir takım ipuçları Hane </w:t>
      </w:r>
      <w:r>
        <w:rPr>
          <w:rFonts w:ascii="Arial" w:hAnsi="Arial" w:cs="Arial"/>
          <w:sz w:val="20"/>
          <w:szCs w:val="20"/>
        </w:rPr>
        <w:t>H</w:t>
      </w:r>
      <w:r w:rsidRPr="00A10824">
        <w:rPr>
          <w:rFonts w:ascii="Arial" w:hAnsi="Arial" w:cs="Arial"/>
          <w:sz w:val="20"/>
          <w:szCs w:val="20"/>
        </w:rPr>
        <w:t xml:space="preserve">alkı </w:t>
      </w:r>
      <w:r>
        <w:rPr>
          <w:rFonts w:ascii="Arial" w:hAnsi="Arial" w:cs="Arial"/>
          <w:sz w:val="20"/>
          <w:szCs w:val="20"/>
        </w:rPr>
        <w:t>İ</w:t>
      </w:r>
      <w:r w:rsidRPr="00A10824">
        <w:rPr>
          <w:rFonts w:ascii="Arial" w:hAnsi="Arial" w:cs="Arial"/>
          <w:sz w:val="20"/>
          <w:szCs w:val="20"/>
        </w:rPr>
        <w:t xml:space="preserve">şgücü anketi verilerinde görülmektedir. Eğitim düzeyleri itibariyle bakıldığında katılım oranlarının özellikle eğitim seviyesi düşük kadınlarda </w:t>
      </w:r>
      <w:r>
        <w:rPr>
          <w:rFonts w:ascii="Arial" w:hAnsi="Arial" w:cs="Arial"/>
          <w:sz w:val="20"/>
          <w:szCs w:val="20"/>
        </w:rPr>
        <w:t xml:space="preserve">(ilkokul, ilköğretim ve ortaokul mezunlarında) </w:t>
      </w:r>
      <w:r w:rsidRPr="00A10824">
        <w:rPr>
          <w:rFonts w:ascii="Arial" w:hAnsi="Arial" w:cs="Arial"/>
          <w:sz w:val="20"/>
          <w:szCs w:val="20"/>
        </w:rPr>
        <w:t>arttığı</w:t>
      </w:r>
      <w:r>
        <w:rPr>
          <w:rFonts w:ascii="Arial" w:hAnsi="Arial" w:cs="Arial"/>
          <w:sz w:val="20"/>
          <w:szCs w:val="20"/>
        </w:rPr>
        <w:t xml:space="preserve"> görülmektedir. İşsizlik verileri ise kadın işsizliğinin bu dönemde az da olsa azaldığını göstermektedir. Bu, daha çok kadının işgücü piyasasına girmesiyle işsizlik oranlarının artacağı iddiasının doğru olmadığını ortaya koymaktadır. Bunun yanı sıra hâlihazırda istihdamda bulunan kadınlar arasında en iyi istihdam biçimi olarak kabul edilebilecek kayıtlı ve ücretli istihdamın payının artıyor olması kadınların işgücü piyasasındaki konumları açısından önemli bir gelişmedir. Bu artışta 2008 yılında kadın istihdamını artırmak amacıyla başlatılan SGK prim teşviklerinin etkisi olduğu göz ardı edilemez. </w:t>
      </w:r>
    </w:p>
    <w:p w:rsidR="0094383C" w:rsidRDefault="0094383C" w:rsidP="00982F1C">
      <w:pPr>
        <w:rPr>
          <w:rFonts w:ascii="Arial" w:hAnsi="Arial" w:cs="Arial"/>
          <w:sz w:val="20"/>
          <w:szCs w:val="20"/>
        </w:rPr>
      </w:pPr>
    </w:p>
    <w:p w:rsidR="0094383C" w:rsidRDefault="0094383C" w:rsidP="00F81DC0">
      <w:pPr>
        <w:rPr>
          <w:rFonts w:ascii="Arial" w:hAnsi="Arial" w:cs="Arial"/>
          <w:b/>
          <w:bCs/>
          <w:sz w:val="22"/>
          <w:szCs w:val="22"/>
        </w:rPr>
      </w:pPr>
      <w:r>
        <w:rPr>
          <w:rFonts w:ascii="Arial" w:hAnsi="Arial" w:cs="Arial"/>
          <w:b/>
          <w:bCs/>
          <w:sz w:val="22"/>
          <w:szCs w:val="22"/>
        </w:rPr>
        <w:t>Kentlerde kadın işgücüne katılım oranları artıyor</w:t>
      </w:r>
    </w:p>
    <w:p w:rsidR="0094383C" w:rsidRDefault="0094383C" w:rsidP="00F81DC0">
      <w:pPr>
        <w:rPr>
          <w:rFonts w:ascii="Arial" w:hAnsi="Arial" w:cs="Arial"/>
          <w:sz w:val="22"/>
          <w:szCs w:val="22"/>
        </w:rPr>
      </w:pPr>
    </w:p>
    <w:p w:rsidR="0094383C" w:rsidRDefault="0094383C" w:rsidP="00F81DC0">
      <w:pPr>
        <w:rPr>
          <w:rFonts w:ascii="Arial" w:hAnsi="Arial" w:cs="Arial"/>
          <w:sz w:val="20"/>
          <w:szCs w:val="20"/>
        </w:rPr>
      </w:pPr>
      <w:r w:rsidRPr="00A10824">
        <w:rPr>
          <w:rFonts w:ascii="Arial" w:hAnsi="Arial" w:cs="Arial"/>
          <w:sz w:val="20"/>
          <w:szCs w:val="20"/>
        </w:rPr>
        <w:t>Kadınların işgücüne katılım kararları tarım ve tarım dışı yaşam koşullarında farklılaşmaktadır. Tarımda çoğunlukla ücretsiz aile işçisi olarak çalışan kadınlar, üretim ve istihdam tarım dışı sektörlere kaydıkça işgücü piyasasından uzaklaşmaktadır. Buna paralel olarak kadın işgücüne katılım oranları tarımdan tarım dışına, kırdan kente geçişlere paralel olarak geçtiğimiz yarım yüzyılda düşmüştür.</w:t>
      </w:r>
      <w:r w:rsidRPr="00A10824">
        <w:rPr>
          <w:rStyle w:val="DipnotBavurusu"/>
          <w:rFonts w:ascii="Arial" w:hAnsi="Arial" w:cs="Arial"/>
          <w:sz w:val="20"/>
          <w:szCs w:val="20"/>
        </w:rPr>
        <w:footnoteReference w:id="4"/>
      </w:r>
      <w:r w:rsidRPr="00A10824">
        <w:rPr>
          <w:rFonts w:ascii="Arial" w:hAnsi="Arial" w:cs="Arial"/>
          <w:sz w:val="20"/>
          <w:szCs w:val="20"/>
        </w:rPr>
        <w:t xml:space="preserve"> </w:t>
      </w:r>
      <w:r>
        <w:rPr>
          <w:rFonts w:ascii="Arial" w:hAnsi="Arial" w:cs="Arial"/>
          <w:sz w:val="20"/>
          <w:szCs w:val="20"/>
        </w:rPr>
        <w:t xml:space="preserve">Kentsel alanların tarım dışı sektörlerden kadın katılımını daha iyi yansıttığından hareketle bu araştırmada </w:t>
      </w:r>
      <w:r w:rsidRPr="00A10824">
        <w:rPr>
          <w:rFonts w:ascii="Arial" w:hAnsi="Arial" w:cs="Arial"/>
          <w:sz w:val="20"/>
          <w:szCs w:val="20"/>
        </w:rPr>
        <w:t>kentsel ala</w:t>
      </w:r>
      <w:r>
        <w:rPr>
          <w:rFonts w:ascii="Arial" w:hAnsi="Arial" w:cs="Arial"/>
          <w:sz w:val="20"/>
          <w:szCs w:val="20"/>
        </w:rPr>
        <w:t>nlardaki kadınlara odaklanılmaktadır</w:t>
      </w:r>
      <w:r w:rsidRPr="00A10824">
        <w:rPr>
          <w:rFonts w:ascii="Arial" w:hAnsi="Arial" w:cs="Arial"/>
          <w:sz w:val="20"/>
          <w:szCs w:val="20"/>
        </w:rPr>
        <w:t>.</w:t>
      </w:r>
      <w:r>
        <w:rPr>
          <w:rFonts w:ascii="Arial" w:hAnsi="Arial" w:cs="Arial"/>
          <w:sz w:val="20"/>
          <w:szCs w:val="20"/>
        </w:rPr>
        <w:t xml:space="preserve"> </w:t>
      </w:r>
    </w:p>
    <w:p w:rsidR="0094383C" w:rsidRDefault="0094383C" w:rsidP="00F81DC0">
      <w:pPr>
        <w:rPr>
          <w:rFonts w:ascii="Arial" w:hAnsi="Arial" w:cs="Arial"/>
          <w:sz w:val="20"/>
          <w:szCs w:val="20"/>
        </w:rPr>
      </w:pPr>
    </w:p>
    <w:p w:rsidR="0094383C" w:rsidRDefault="0094383C" w:rsidP="00942C22">
      <w:pPr>
        <w:rPr>
          <w:rFonts w:ascii="Arial" w:hAnsi="Arial" w:cs="Arial"/>
          <w:sz w:val="20"/>
          <w:szCs w:val="20"/>
        </w:rPr>
      </w:pPr>
      <w:r>
        <w:rPr>
          <w:rFonts w:ascii="Arial" w:hAnsi="Arial" w:cs="Arial"/>
          <w:sz w:val="20"/>
          <w:szCs w:val="20"/>
        </w:rPr>
        <w:t xml:space="preserve">2004 – 2011 döneminde kentlerde kadınların işgücüne katılım oranları </w:t>
      </w:r>
      <w:fldSimple w:instr=" REF _Ref344109276 \h  \* MERGEFORMAT ">
        <w:r w:rsidRPr="00FE3D40">
          <w:rPr>
            <w:rFonts w:ascii="Arial" w:hAnsi="Arial" w:cs="Arial"/>
            <w:sz w:val="20"/>
            <w:szCs w:val="20"/>
          </w:rPr>
          <w:t xml:space="preserve">Şekil </w:t>
        </w:r>
        <w:r w:rsidRPr="00FE3D40">
          <w:rPr>
            <w:rFonts w:ascii="Arial" w:hAnsi="Arial" w:cs="Arial"/>
            <w:noProof/>
            <w:sz w:val="20"/>
            <w:szCs w:val="20"/>
          </w:rPr>
          <w:t>1</w:t>
        </w:r>
      </w:fldSimple>
      <w:r>
        <w:rPr>
          <w:rFonts w:ascii="Arial" w:hAnsi="Arial" w:cs="Arial"/>
          <w:sz w:val="20"/>
          <w:szCs w:val="20"/>
        </w:rPr>
        <w:t xml:space="preserve">’de verilmektedir. Görüldüğü gibi bu dönemde kadın katılım oranı istikrarlı bir şekilde yükselmektedir. Ancak aynı süre zarfında eğitim seviyesi ve buna paralel ilk evlilik ile ilk doğum yaşları da artmıştır. Kadın katılım oranlarındaki artış, bu ve benzeri eğilimlerin sonucu olarak bir bileşen etkisinden kaynaklanıyor olabilir. </w:t>
      </w:r>
      <w:r>
        <w:rPr>
          <w:rFonts w:ascii="Arial" w:hAnsi="Arial" w:cs="Arial"/>
          <w:sz w:val="20"/>
          <w:szCs w:val="20"/>
        </w:rPr>
        <w:lastRenderedPageBreak/>
        <w:t xml:space="preserve">Bu araştırma notunda kadın katılım oranlarındaki artışın altında yatan nedenler bu eğilimlerden arındırılarak incelenecektir.  </w:t>
      </w:r>
    </w:p>
    <w:p w:rsidR="0094383C" w:rsidRDefault="0094383C" w:rsidP="00942C22">
      <w:pPr>
        <w:rPr>
          <w:rFonts w:ascii="Arial" w:hAnsi="Arial" w:cs="Arial"/>
          <w:sz w:val="20"/>
          <w:szCs w:val="20"/>
        </w:rPr>
      </w:pPr>
    </w:p>
    <w:p w:rsidR="0094383C" w:rsidRDefault="0094383C" w:rsidP="00942C22">
      <w:pPr>
        <w:rPr>
          <w:rFonts w:ascii="Arial" w:hAnsi="Arial" w:cs="Arial"/>
          <w:sz w:val="20"/>
          <w:szCs w:val="20"/>
        </w:rPr>
      </w:pPr>
      <w:r>
        <w:rPr>
          <w:rFonts w:ascii="Arial" w:hAnsi="Arial" w:cs="Arial"/>
          <w:sz w:val="20"/>
          <w:szCs w:val="20"/>
        </w:rPr>
        <w:t xml:space="preserve">Kuşkusuz bireylerin işgücüne katılmaları hem ekonomik hem de kültürel açıdan oldukça karmaşık bir karardır. Bu araştırma notunda Hane halkı İşgücü Anketleri’nde olan etkenlere ağırlık verilerek basit bir ekonometrik analiz yapılacaktır. Bu anketlerde var olmayan çeşitli sosyo-kültürel ve kurumsal faktörlerin (geleneksel iş bölümü, iş ve aile yaşamını uzlaştırıcı politikalar vb.) bu kararda etkili oldukları yadsınamaz ancak buradaki analiz eldeki verilerle kısıtlıdır. </w:t>
      </w:r>
    </w:p>
    <w:p w:rsidR="0094383C" w:rsidRDefault="0094383C" w:rsidP="00F81DC0">
      <w:pPr>
        <w:rPr>
          <w:rFonts w:ascii="Arial" w:hAnsi="Arial" w:cs="Arial"/>
          <w:sz w:val="20"/>
          <w:szCs w:val="20"/>
        </w:rPr>
      </w:pPr>
    </w:p>
    <w:p w:rsidR="0094383C" w:rsidRDefault="0094383C" w:rsidP="00F81DC0">
      <w:pPr>
        <w:rPr>
          <w:rFonts w:ascii="Arial" w:hAnsi="Arial" w:cs="Arial"/>
          <w:sz w:val="20"/>
          <w:szCs w:val="20"/>
        </w:rPr>
      </w:pPr>
    </w:p>
    <w:p w:rsidR="0094383C" w:rsidRPr="00087DD0" w:rsidRDefault="0094383C" w:rsidP="007C6485">
      <w:pPr>
        <w:pStyle w:val="ResimYazs"/>
        <w:keepNext/>
        <w:rPr>
          <w:rFonts w:ascii="Arial" w:hAnsi="Arial" w:cs="Arial"/>
        </w:rPr>
      </w:pPr>
      <w:bookmarkStart w:id="0" w:name="_Ref344109276"/>
      <w:r w:rsidRPr="00087DD0">
        <w:rPr>
          <w:rFonts w:ascii="Arial" w:hAnsi="Arial" w:cs="Arial"/>
        </w:rPr>
        <w:t xml:space="preserve">Şekil </w:t>
      </w:r>
      <w:r w:rsidR="002C6A36" w:rsidRPr="00087DD0">
        <w:rPr>
          <w:rFonts w:ascii="Arial" w:hAnsi="Arial" w:cs="Arial"/>
        </w:rPr>
        <w:fldChar w:fldCharType="begin"/>
      </w:r>
      <w:r w:rsidRPr="00087DD0">
        <w:rPr>
          <w:rFonts w:ascii="Arial" w:hAnsi="Arial" w:cs="Arial"/>
        </w:rPr>
        <w:instrText xml:space="preserve"> SEQ Figure \* ARABIC </w:instrText>
      </w:r>
      <w:r w:rsidR="002C6A36" w:rsidRPr="00087DD0">
        <w:rPr>
          <w:rFonts w:ascii="Arial" w:hAnsi="Arial" w:cs="Arial"/>
        </w:rPr>
        <w:fldChar w:fldCharType="separate"/>
      </w:r>
      <w:r w:rsidRPr="00087DD0">
        <w:rPr>
          <w:rFonts w:ascii="Arial" w:hAnsi="Arial" w:cs="Arial"/>
          <w:noProof/>
        </w:rPr>
        <w:t>1</w:t>
      </w:r>
      <w:r w:rsidR="002C6A36" w:rsidRPr="00087DD0">
        <w:rPr>
          <w:rFonts w:ascii="Arial" w:hAnsi="Arial" w:cs="Arial"/>
        </w:rPr>
        <w:fldChar w:fldCharType="end"/>
      </w:r>
      <w:bookmarkEnd w:id="0"/>
      <w:r w:rsidRPr="00087DD0">
        <w:rPr>
          <w:rFonts w:ascii="Arial" w:hAnsi="Arial" w:cs="Arial"/>
        </w:rPr>
        <w:t xml:space="preserve"> Kentlerde kadın işgücüne katılım oranları</w:t>
      </w:r>
      <w:r>
        <w:rPr>
          <w:rFonts w:ascii="Arial" w:hAnsi="Arial" w:cs="Arial"/>
        </w:rPr>
        <w:t xml:space="preserve"> </w:t>
      </w:r>
    </w:p>
    <w:p w:rsidR="0094383C" w:rsidRPr="003E409D" w:rsidRDefault="00821ACA" w:rsidP="00F81DC0">
      <w:pPr>
        <w:rPr>
          <w:rFonts w:ascii="Arial" w:hAnsi="Arial" w:cs="Arial"/>
          <w:sz w:val="20"/>
          <w:szCs w:val="20"/>
        </w:rPr>
      </w:pPr>
      <w:r>
        <w:rPr>
          <w:rFonts w:ascii="Arial" w:hAnsi="Arial" w:cs="Arial"/>
          <w:noProof/>
          <w:sz w:val="20"/>
          <w:szCs w:val="20"/>
        </w:rPr>
        <w:drawing>
          <wp:inline distT="0" distB="0" distL="0" distR="0">
            <wp:extent cx="4476750" cy="2847975"/>
            <wp:effectExtent l="19050" t="0" r="0" b="0"/>
            <wp:docPr id="1" name="Picture 5" descr="iko_kent_y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ko_kent_yil.jpg"/>
                    <pic:cNvPicPr>
                      <a:picLocks noChangeAspect="1" noChangeArrowheads="1"/>
                    </pic:cNvPicPr>
                  </pic:nvPicPr>
                  <pic:blipFill>
                    <a:blip r:embed="rId8"/>
                    <a:srcRect/>
                    <a:stretch>
                      <a:fillRect/>
                    </a:stretch>
                  </pic:blipFill>
                  <pic:spPr bwMode="auto">
                    <a:xfrm>
                      <a:off x="0" y="0"/>
                      <a:ext cx="4476750" cy="2847975"/>
                    </a:xfrm>
                    <a:prstGeom prst="rect">
                      <a:avLst/>
                    </a:prstGeom>
                    <a:noFill/>
                    <a:ln w="9525">
                      <a:noFill/>
                      <a:miter lim="800000"/>
                      <a:headEnd/>
                      <a:tailEnd/>
                    </a:ln>
                  </pic:spPr>
                </pic:pic>
              </a:graphicData>
            </a:graphic>
          </wp:inline>
        </w:drawing>
      </w:r>
    </w:p>
    <w:p w:rsidR="0094383C" w:rsidRDefault="0094383C" w:rsidP="00F81DC0">
      <w:pPr>
        <w:rPr>
          <w:rFonts w:ascii="Arial" w:hAnsi="Arial" w:cs="Arial"/>
          <w:sz w:val="20"/>
          <w:szCs w:val="20"/>
        </w:rPr>
      </w:pPr>
    </w:p>
    <w:p w:rsidR="0094383C" w:rsidRDefault="0094383C" w:rsidP="00F81DC0">
      <w:pPr>
        <w:rPr>
          <w:rFonts w:ascii="Arial" w:hAnsi="Arial" w:cs="Arial"/>
          <w:sz w:val="20"/>
          <w:szCs w:val="20"/>
        </w:rPr>
      </w:pPr>
    </w:p>
    <w:p w:rsidR="0094383C" w:rsidRDefault="0094383C" w:rsidP="00560143">
      <w:pPr>
        <w:rPr>
          <w:rFonts w:ascii="Arial" w:hAnsi="Arial" w:cs="Arial"/>
          <w:b/>
          <w:bCs/>
          <w:sz w:val="22"/>
          <w:szCs w:val="22"/>
        </w:rPr>
      </w:pPr>
      <w:r w:rsidRPr="00026D33">
        <w:rPr>
          <w:rFonts w:ascii="Arial" w:hAnsi="Arial" w:cs="Arial"/>
          <w:b/>
          <w:bCs/>
          <w:sz w:val="22"/>
          <w:szCs w:val="22"/>
        </w:rPr>
        <w:t>Kadınların işgücüne katılımını belirleyen yapısal etkenler</w:t>
      </w:r>
    </w:p>
    <w:p w:rsidR="0094383C" w:rsidRPr="00560143" w:rsidRDefault="0094383C" w:rsidP="00560143">
      <w:pPr>
        <w:rPr>
          <w:rFonts w:ascii="Arial" w:hAnsi="Arial" w:cs="Arial"/>
          <w:b/>
          <w:bCs/>
          <w:sz w:val="22"/>
          <w:szCs w:val="22"/>
        </w:rPr>
      </w:pPr>
    </w:p>
    <w:p w:rsidR="0094383C" w:rsidRDefault="0094383C" w:rsidP="00560143">
      <w:pPr>
        <w:rPr>
          <w:rFonts w:ascii="Arial" w:hAnsi="Arial" w:cs="Arial"/>
          <w:sz w:val="20"/>
          <w:szCs w:val="20"/>
        </w:rPr>
      </w:pPr>
      <w:r w:rsidRPr="008675B6">
        <w:rPr>
          <w:rFonts w:ascii="Arial" w:hAnsi="Arial" w:cs="Arial"/>
          <w:sz w:val="20"/>
          <w:szCs w:val="20"/>
        </w:rPr>
        <w:t xml:space="preserve">Hane Halkı İşgücü Anketleri’nde olan ve bireylerin işgücüne katılım kararlarını etkilediğini düşündüğümüz yapısal </w:t>
      </w:r>
      <w:r>
        <w:rPr>
          <w:rFonts w:ascii="Arial" w:hAnsi="Arial" w:cs="Arial"/>
          <w:sz w:val="20"/>
          <w:szCs w:val="20"/>
        </w:rPr>
        <w:t>etkenler</w:t>
      </w:r>
      <w:r w:rsidRPr="008675B6">
        <w:rPr>
          <w:rFonts w:ascii="Arial" w:hAnsi="Arial" w:cs="Arial"/>
          <w:sz w:val="20"/>
          <w:szCs w:val="20"/>
        </w:rPr>
        <w:t xml:space="preserve"> dört ana başlıkta</w:t>
      </w:r>
      <w:r>
        <w:rPr>
          <w:rFonts w:ascii="Arial" w:hAnsi="Arial" w:cs="Arial"/>
          <w:sz w:val="20"/>
          <w:szCs w:val="20"/>
        </w:rPr>
        <w:t xml:space="preserve"> </w:t>
      </w:r>
      <w:r w:rsidRPr="008675B6">
        <w:rPr>
          <w:rFonts w:ascii="Arial" w:hAnsi="Arial" w:cs="Arial"/>
          <w:sz w:val="20"/>
          <w:szCs w:val="20"/>
        </w:rPr>
        <w:t xml:space="preserve">toplanabilir: yaşam döngüsü, eğitim, gelir ve bölge. Bu </w:t>
      </w:r>
      <w:r>
        <w:rPr>
          <w:rFonts w:ascii="Arial" w:hAnsi="Arial" w:cs="Arial"/>
          <w:sz w:val="20"/>
          <w:szCs w:val="20"/>
        </w:rPr>
        <w:t>etkenler</w:t>
      </w:r>
      <w:r w:rsidRPr="008675B6">
        <w:rPr>
          <w:rFonts w:ascii="Arial" w:hAnsi="Arial" w:cs="Arial"/>
          <w:sz w:val="20"/>
          <w:szCs w:val="20"/>
        </w:rPr>
        <w:t xml:space="preserve"> birbirini dışlamamakla beraber kullanılan ekonometrik analiz yöntemi her bir faktörün etkisinin diğer faktörlerin etkilerinden ayrıştırılmasına izin verir. Örneğin eğitim seviyesinin düşüklüğü, erken yaşta evlilik ve erken yaşta çocuk sahibi olma kuşkusuz birbirleriyle bağlantılı durumlardır. Ekonometrik analizde her bir faktörün etkisi diğer faktörler sabit tutularak değerlendirilir. </w:t>
      </w:r>
    </w:p>
    <w:p w:rsidR="0094383C" w:rsidRDefault="0094383C" w:rsidP="00560143">
      <w:pPr>
        <w:rPr>
          <w:rFonts w:ascii="Arial" w:hAnsi="Arial" w:cs="Arial"/>
          <w:sz w:val="20"/>
          <w:szCs w:val="20"/>
        </w:rPr>
      </w:pPr>
    </w:p>
    <w:p w:rsidR="0094383C" w:rsidRPr="008675B6" w:rsidRDefault="0094383C" w:rsidP="00560143">
      <w:pPr>
        <w:rPr>
          <w:rFonts w:ascii="Arial" w:hAnsi="Arial" w:cs="Arial"/>
          <w:sz w:val="20"/>
          <w:szCs w:val="20"/>
        </w:rPr>
      </w:pPr>
      <w:r w:rsidRPr="008675B6">
        <w:rPr>
          <w:rFonts w:ascii="Arial" w:hAnsi="Arial" w:cs="Arial"/>
          <w:sz w:val="20"/>
          <w:szCs w:val="20"/>
        </w:rPr>
        <w:t xml:space="preserve">Ekonometrik analizde referans grup olarak 2011 yılında İstanbul’da yaşayan ilkokul mezunu ve evli kadınlar alınmıştır. Sonuçlar </w:t>
      </w:r>
      <w:fldSimple w:instr=" REF _Ref346893510 \h  \* MERGEFORMAT ">
        <w:r w:rsidRPr="008675B6">
          <w:rPr>
            <w:rFonts w:ascii="Arial" w:hAnsi="Arial" w:cs="Arial"/>
            <w:sz w:val="20"/>
            <w:szCs w:val="20"/>
          </w:rPr>
          <w:t xml:space="preserve">Tablo </w:t>
        </w:r>
        <w:r w:rsidRPr="008675B6">
          <w:rPr>
            <w:rFonts w:ascii="Arial" w:hAnsi="Arial" w:cs="Arial"/>
            <w:noProof/>
            <w:sz w:val="20"/>
            <w:szCs w:val="20"/>
          </w:rPr>
          <w:t>1</w:t>
        </w:r>
      </w:fldSimple>
      <w:r>
        <w:rPr>
          <w:rFonts w:ascii="Arial" w:hAnsi="Arial" w:cs="Arial"/>
          <w:sz w:val="20"/>
          <w:szCs w:val="20"/>
        </w:rPr>
        <w:t>’de</w:t>
      </w:r>
      <w:r w:rsidRPr="008675B6">
        <w:rPr>
          <w:rFonts w:ascii="Arial" w:hAnsi="Arial" w:cs="Arial"/>
          <w:sz w:val="20"/>
          <w:szCs w:val="20"/>
        </w:rPr>
        <w:t xml:space="preserve"> verilmektedir. Her bir faktörün etkisi yanındaki katsayının işareti ile belirlenmektedir. Pozitif katsayılar söz konusu </w:t>
      </w:r>
      <w:r>
        <w:rPr>
          <w:rFonts w:ascii="Arial" w:hAnsi="Arial" w:cs="Arial"/>
          <w:sz w:val="20"/>
          <w:szCs w:val="20"/>
        </w:rPr>
        <w:t>etkenlerin,</w:t>
      </w:r>
      <w:r w:rsidRPr="008675B6">
        <w:rPr>
          <w:rFonts w:ascii="Arial" w:hAnsi="Arial" w:cs="Arial"/>
          <w:sz w:val="20"/>
          <w:szCs w:val="20"/>
        </w:rPr>
        <w:t xml:space="preserve"> kentlerde kadı</w:t>
      </w:r>
      <w:r>
        <w:rPr>
          <w:rFonts w:ascii="Arial" w:hAnsi="Arial" w:cs="Arial"/>
          <w:sz w:val="20"/>
          <w:szCs w:val="20"/>
        </w:rPr>
        <w:t>n işgücüne katılım ihtimallerini (</w:t>
      </w:r>
      <w:r w:rsidRPr="00885162">
        <w:rPr>
          <w:rFonts w:ascii="Arial" w:hAnsi="Arial" w:cs="Arial"/>
          <w:sz w:val="20"/>
          <w:szCs w:val="20"/>
        </w:rPr>
        <w:t>İstanbul’da yaşayan ilkokul me</w:t>
      </w:r>
      <w:r>
        <w:rPr>
          <w:rFonts w:ascii="Arial" w:hAnsi="Arial" w:cs="Arial"/>
          <w:sz w:val="20"/>
          <w:szCs w:val="20"/>
        </w:rPr>
        <w:t>zunu ve evli kadınlara kıyasla)</w:t>
      </w:r>
      <w:r w:rsidRPr="008675B6">
        <w:rPr>
          <w:rFonts w:ascii="Arial" w:hAnsi="Arial" w:cs="Arial"/>
          <w:sz w:val="20"/>
          <w:szCs w:val="20"/>
        </w:rPr>
        <w:t xml:space="preserve"> artırdığını, negatif katsayılar ise düşürdüğünü göstermektedir. </w:t>
      </w:r>
      <w:r w:rsidR="005D64B1">
        <w:rPr>
          <w:rFonts w:ascii="Arial" w:hAnsi="Arial" w:cs="Arial"/>
          <w:sz w:val="20"/>
          <w:szCs w:val="20"/>
        </w:rPr>
        <w:t>E</w:t>
      </w:r>
      <w:r w:rsidRPr="00915ADA">
        <w:rPr>
          <w:rFonts w:ascii="Arial" w:hAnsi="Arial" w:cs="Arial"/>
          <w:sz w:val="20"/>
          <w:szCs w:val="20"/>
        </w:rPr>
        <w:t xml:space="preserve">konometrik analizden elde edilen bulgular </w:t>
      </w:r>
      <w:r w:rsidR="005D64B1">
        <w:rPr>
          <w:rFonts w:ascii="Arial" w:hAnsi="Arial" w:cs="Arial"/>
          <w:sz w:val="20"/>
          <w:szCs w:val="20"/>
        </w:rPr>
        <w:t xml:space="preserve">aşağıda </w:t>
      </w:r>
      <w:r w:rsidRPr="00915ADA">
        <w:rPr>
          <w:rFonts w:ascii="Arial" w:hAnsi="Arial" w:cs="Arial"/>
          <w:sz w:val="20"/>
          <w:szCs w:val="20"/>
        </w:rPr>
        <w:t>detaylı olarak incelenmektedir.</w:t>
      </w:r>
      <w:r>
        <w:rPr>
          <w:rFonts w:ascii="Arial" w:hAnsi="Arial" w:cs="Arial"/>
          <w:sz w:val="20"/>
          <w:szCs w:val="20"/>
        </w:rPr>
        <w:t xml:space="preserve"> </w:t>
      </w:r>
    </w:p>
    <w:p w:rsidR="0094383C" w:rsidRDefault="0094383C" w:rsidP="00F81DC0">
      <w:pPr>
        <w:rPr>
          <w:rFonts w:ascii="Arial" w:hAnsi="Arial" w:cs="Arial"/>
          <w:sz w:val="20"/>
          <w:szCs w:val="20"/>
        </w:rPr>
      </w:pPr>
    </w:p>
    <w:p w:rsidR="0094383C" w:rsidRPr="00DD1D8B" w:rsidRDefault="0094383C" w:rsidP="00F81DC0">
      <w:pPr>
        <w:rPr>
          <w:rFonts w:ascii="Arial" w:hAnsi="Arial" w:cs="Arial"/>
          <w:b/>
          <w:bCs/>
          <w:sz w:val="22"/>
          <w:szCs w:val="22"/>
        </w:rPr>
      </w:pPr>
      <w:r w:rsidRPr="00872D56">
        <w:rPr>
          <w:rFonts w:ascii="Arial" w:hAnsi="Arial" w:cs="Arial"/>
          <w:b/>
          <w:bCs/>
          <w:sz w:val="22"/>
          <w:szCs w:val="22"/>
        </w:rPr>
        <w:t>Hanede bakım sağlayabilecek kadın sayısı arttıkça kadın katılımı düşüyor</w:t>
      </w:r>
    </w:p>
    <w:p w:rsidR="0094383C" w:rsidRDefault="0094383C" w:rsidP="00F81DC0">
      <w:pPr>
        <w:rPr>
          <w:rFonts w:ascii="Arial" w:hAnsi="Arial" w:cs="Arial"/>
          <w:sz w:val="20"/>
          <w:szCs w:val="20"/>
        </w:rPr>
      </w:pPr>
    </w:p>
    <w:p w:rsidR="0094383C" w:rsidRDefault="0094383C" w:rsidP="004853B1">
      <w:pPr>
        <w:rPr>
          <w:rFonts w:ascii="Arial" w:hAnsi="Arial" w:cs="Arial"/>
          <w:sz w:val="20"/>
          <w:szCs w:val="20"/>
        </w:rPr>
      </w:pPr>
      <w:r>
        <w:rPr>
          <w:rFonts w:ascii="Arial" w:hAnsi="Arial" w:cs="Arial"/>
          <w:sz w:val="20"/>
          <w:szCs w:val="20"/>
        </w:rPr>
        <w:t>Bireylerin yaşam döngüsünde nerede oldukları işgücüne katılım kararlarında belirleyici bir etkendir. Eğitim, evlilik, çocuk sahibi olmak gibi süreçler yaşam döngüsünde işgücüne katılım kararlarının farklılaşmasına sebep olur. Türkiye’de işgücü piyasasına giriş genelde eğitim sürecinin tamamlanmasından sonra gerçekleşir. Erkekler için genelde eğitim tamamlandıktan sonra emekliliğe kadar işgücü piyasasından ayrılmak söz konusu değildir. Diğer taraftan geleneksel toplumsal cinsiyet r</w:t>
      </w:r>
      <w:r w:rsidR="00806E1B">
        <w:rPr>
          <w:rFonts w:ascii="Arial" w:hAnsi="Arial" w:cs="Arial"/>
          <w:sz w:val="20"/>
          <w:szCs w:val="20"/>
        </w:rPr>
        <w:t>olleri çerçevesinde ev işleri ile</w:t>
      </w:r>
      <w:r>
        <w:rPr>
          <w:rFonts w:ascii="Arial" w:hAnsi="Arial" w:cs="Arial"/>
          <w:sz w:val="20"/>
          <w:szCs w:val="20"/>
        </w:rPr>
        <w:t xml:space="preserve"> çocuk </w:t>
      </w:r>
      <w:r w:rsidR="00806E1B">
        <w:rPr>
          <w:rFonts w:ascii="Arial" w:hAnsi="Arial" w:cs="Arial"/>
          <w:sz w:val="20"/>
          <w:szCs w:val="20"/>
        </w:rPr>
        <w:t xml:space="preserve">ve yaşlı </w:t>
      </w:r>
      <w:r>
        <w:rPr>
          <w:rFonts w:ascii="Arial" w:hAnsi="Arial" w:cs="Arial"/>
          <w:sz w:val="20"/>
          <w:szCs w:val="20"/>
        </w:rPr>
        <w:t xml:space="preserve">bakımdan kadınlar sorumlu olduklarından yaşamlarının belli dönemlerinde ev içi üretime ağırlık verirler. Kadın katılım oranlarının daha yüksek olduğu ülkelerde kadınların çocuk sahibi olduktan bir süre sonra işgücü piyasasına döndükleri görülmektedir. Bu bağlamda bireyin yaşı, yaşam döngüsünü temsil ettiği kadarıyla işgücü piyasasına katılım kararında belirleyicidir. </w:t>
      </w:r>
    </w:p>
    <w:p w:rsidR="0094383C" w:rsidRDefault="0094383C" w:rsidP="00F81DC0">
      <w:pPr>
        <w:rPr>
          <w:rFonts w:ascii="Arial" w:hAnsi="Arial" w:cs="Arial"/>
          <w:sz w:val="20"/>
          <w:szCs w:val="20"/>
        </w:rPr>
      </w:pPr>
    </w:p>
    <w:p w:rsidR="0094383C" w:rsidRDefault="0094383C" w:rsidP="00F81DC0">
      <w:pPr>
        <w:rPr>
          <w:rFonts w:ascii="Arial" w:hAnsi="Arial" w:cs="Arial"/>
          <w:sz w:val="20"/>
          <w:szCs w:val="20"/>
        </w:rPr>
      </w:pPr>
      <w:r>
        <w:rPr>
          <w:rFonts w:ascii="Arial" w:hAnsi="Arial" w:cs="Arial"/>
          <w:sz w:val="20"/>
          <w:szCs w:val="20"/>
        </w:rPr>
        <w:t>Yapılan ekonometrik analizin sonuçlarına göre Türkiye’de kadınlar yaşları arttıkça önce işgücü piyasasına girmekte, sonra evlilik, çocuk ve yaşlı bakımı gibi ev içi sorumluluklarının artmasına paralel olarak işgücü piyasasından çıkmaktadır. Kadın katılım oranı daha yüksek olan başka ülkelere benzer şekilde çocukları büyüyen ve buna paralel ev içi üretimi düşen kadınların işgücü piyasasına girişlerinin tekrar arttığını görmek mümkündür.</w:t>
      </w:r>
    </w:p>
    <w:p w:rsidR="0094383C" w:rsidRDefault="0094383C" w:rsidP="00F81DC0">
      <w:pPr>
        <w:rPr>
          <w:rFonts w:ascii="Arial" w:hAnsi="Arial" w:cs="Arial"/>
          <w:sz w:val="20"/>
          <w:szCs w:val="20"/>
        </w:rPr>
      </w:pPr>
    </w:p>
    <w:p w:rsidR="0094383C" w:rsidRDefault="0094383C" w:rsidP="00A12281">
      <w:pPr>
        <w:rPr>
          <w:rFonts w:ascii="Arial" w:hAnsi="Arial" w:cs="Arial"/>
          <w:sz w:val="20"/>
          <w:szCs w:val="20"/>
        </w:rPr>
      </w:pPr>
      <w:r>
        <w:rPr>
          <w:rFonts w:ascii="Arial" w:hAnsi="Arial" w:cs="Arial"/>
          <w:sz w:val="20"/>
          <w:szCs w:val="20"/>
        </w:rPr>
        <w:t xml:space="preserve">Evli olmak da ev içi sorumlukları artıran bir durumdur. Ev içi sorumlulukların yanı sıra birden fazla yetişkinin yaşadığı hanelerde bireylerin gelir durumlarına göre farklı iş bölümlerinin olması da söz konusu olabilir. Bu iş bölümü daha eğitimli olan bireylerin işgücü piyasasında çalışmasına, buna karşın genelde daha düşük eğitimli, dolayısıyla potansiyel ücreti nispeten düşük olan kadınların daha çok ev işlerine odaklanmasına sebep olabilir. Bu bağlamda evli kadınların işgücüne katılım oranları başka açıdan benzer kadınlara kıyasla daha düşük olacaktır. Ekonometrik analiz sonuçları bunu doğrular niteliktedir. Diğer bütün faktörleri aynı olan iki kadından evli olanın işgücüne katılma ihtimali evli olmayandan (hiç evlenmemiş ya da boşanmış) daha </w:t>
      </w:r>
      <w:r w:rsidR="0045616A">
        <w:rPr>
          <w:rFonts w:ascii="Arial" w:hAnsi="Arial" w:cs="Arial"/>
          <w:sz w:val="20"/>
          <w:szCs w:val="20"/>
        </w:rPr>
        <w:t>düşüktür</w:t>
      </w:r>
      <w:r>
        <w:rPr>
          <w:rFonts w:ascii="Arial" w:hAnsi="Arial" w:cs="Arial"/>
          <w:sz w:val="20"/>
          <w:szCs w:val="20"/>
        </w:rPr>
        <w:t>.</w:t>
      </w:r>
    </w:p>
    <w:p w:rsidR="0094383C" w:rsidRDefault="0094383C" w:rsidP="00F81DC0">
      <w:pPr>
        <w:rPr>
          <w:rFonts w:ascii="Arial" w:hAnsi="Arial" w:cs="Arial"/>
          <w:sz w:val="20"/>
          <w:szCs w:val="20"/>
        </w:rPr>
      </w:pPr>
    </w:p>
    <w:p w:rsidR="0094383C" w:rsidRDefault="0094383C" w:rsidP="00F81DC0">
      <w:pPr>
        <w:rPr>
          <w:rFonts w:ascii="Arial" w:hAnsi="Arial" w:cs="Arial"/>
          <w:sz w:val="20"/>
          <w:szCs w:val="20"/>
        </w:rPr>
      </w:pPr>
      <w:r>
        <w:rPr>
          <w:rFonts w:ascii="Arial" w:hAnsi="Arial" w:cs="Arial"/>
          <w:sz w:val="20"/>
          <w:szCs w:val="20"/>
        </w:rPr>
        <w:t xml:space="preserve">Ev içi üretimin hanede küçük çocukların ve yaşlıların varlığıyla artacağı aşikârdır. Kadının yaşadığı hanede bakım gerektiren bireylerin varlığı kuşkusuz kadının çalışma ihtimalini etkileyecektir. </w:t>
      </w:r>
      <w:r w:rsidR="00CF3DED">
        <w:rPr>
          <w:rFonts w:ascii="Arial" w:hAnsi="Arial" w:cs="Arial"/>
          <w:sz w:val="20"/>
          <w:szCs w:val="20"/>
        </w:rPr>
        <w:t>Bu bağlamda</w:t>
      </w:r>
      <w:r>
        <w:rPr>
          <w:rFonts w:ascii="Arial" w:hAnsi="Arial" w:cs="Arial"/>
          <w:sz w:val="20"/>
          <w:szCs w:val="20"/>
        </w:rPr>
        <w:t xml:space="preserve"> 0 ila 6 yaş grubunda, 7 ila 14 yaş grubunda ve 65 yaş üzerinde bireylerin sayısı önemli değişkenlerdir. Beklenen şekilde hanede bu yaş gruplarındaki bireylerin oranının artmasıyla kadınların işgücüne katılım oranları düşmektedir. Kısaca hanedeki çocuk ve yaşlıların bakımlarının kadınlar tarafından üstlenildiği görülmektedir. </w:t>
      </w:r>
    </w:p>
    <w:p w:rsidR="0094383C" w:rsidRDefault="0094383C" w:rsidP="00F81DC0">
      <w:pPr>
        <w:rPr>
          <w:rFonts w:ascii="Arial" w:hAnsi="Arial" w:cs="Arial"/>
          <w:sz w:val="20"/>
          <w:szCs w:val="20"/>
        </w:rPr>
      </w:pPr>
    </w:p>
    <w:p w:rsidR="0094383C" w:rsidRDefault="0094383C" w:rsidP="00F81DC0">
      <w:pPr>
        <w:rPr>
          <w:rFonts w:ascii="Arial" w:hAnsi="Arial" w:cs="Arial"/>
          <w:sz w:val="20"/>
          <w:szCs w:val="20"/>
          <w:highlight w:val="yellow"/>
        </w:rPr>
      </w:pPr>
      <w:r>
        <w:rPr>
          <w:rFonts w:ascii="Arial" w:hAnsi="Arial" w:cs="Arial"/>
          <w:sz w:val="20"/>
          <w:szCs w:val="20"/>
        </w:rPr>
        <w:t xml:space="preserve">Diğer taraftan geniş ailelerde hanedeki bakım ihtiyaçlarının paylaşıldığı da düşünülebilir. Hanede çocuk ve yaşlı bakımını üstlenebilecek bireylerin varlığı kadınların işgücüne katılmalarına fırsat tanıyor olabilir. Bu olasılığı değerlendirmek amacıyla hanede 15 yaş ve üzerinde, eğitimini tamamlamış ancak işgücü piyasasına girmeyen, diğer bir </w:t>
      </w:r>
      <w:r w:rsidRPr="00A163C1">
        <w:rPr>
          <w:rFonts w:ascii="Arial" w:hAnsi="Arial" w:cs="Arial"/>
          <w:sz w:val="20"/>
          <w:szCs w:val="20"/>
        </w:rPr>
        <w:t xml:space="preserve">deyişle </w:t>
      </w:r>
      <w:r>
        <w:rPr>
          <w:rFonts w:ascii="Arial" w:hAnsi="Arial" w:cs="Arial"/>
          <w:sz w:val="20"/>
          <w:szCs w:val="20"/>
        </w:rPr>
        <w:t xml:space="preserve">işgücü piyasasında </w:t>
      </w:r>
      <w:r w:rsidRPr="00A163C1">
        <w:rPr>
          <w:rFonts w:ascii="Arial" w:hAnsi="Arial" w:cs="Arial"/>
          <w:sz w:val="20"/>
          <w:szCs w:val="20"/>
        </w:rPr>
        <w:t>faal olmayan</w:t>
      </w:r>
      <w:r>
        <w:rPr>
          <w:rFonts w:ascii="Arial" w:hAnsi="Arial" w:cs="Arial"/>
          <w:sz w:val="20"/>
          <w:szCs w:val="20"/>
        </w:rPr>
        <w:t xml:space="preserve"> </w:t>
      </w:r>
      <w:r w:rsidRPr="00A163C1">
        <w:rPr>
          <w:rFonts w:ascii="Arial" w:hAnsi="Arial" w:cs="Arial"/>
          <w:sz w:val="20"/>
          <w:szCs w:val="20"/>
        </w:rPr>
        <w:t>kadınların</w:t>
      </w:r>
      <w:r>
        <w:rPr>
          <w:rFonts w:ascii="Arial" w:hAnsi="Arial" w:cs="Arial"/>
          <w:sz w:val="20"/>
          <w:szCs w:val="20"/>
        </w:rPr>
        <w:t xml:space="preserve"> sayısı analize dâhil edilmiştir. Buradaki öngörü ev içi üretimin paylaşılmasıyla kadın başına düşen </w:t>
      </w:r>
      <w:r w:rsidRPr="00A163C1">
        <w:rPr>
          <w:rFonts w:ascii="Arial" w:hAnsi="Arial" w:cs="Arial"/>
          <w:sz w:val="20"/>
          <w:szCs w:val="20"/>
        </w:rPr>
        <w:t>bakım yükünün azalması ve kadının işgücüne katılım ihtimalinin artmasıdır. Örneğin hanede küçük çocukların bakımını üstelenebilecek bir kadının daha olması</w:t>
      </w:r>
      <w:r>
        <w:rPr>
          <w:rFonts w:ascii="Arial" w:hAnsi="Arial" w:cs="Arial"/>
          <w:sz w:val="20"/>
          <w:szCs w:val="20"/>
        </w:rPr>
        <w:t>nın</w:t>
      </w:r>
      <w:r w:rsidRPr="00A163C1">
        <w:rPr>
          <w:rFonts w:ascii="Arial" w:hAnsi="Arial" w:cs="Arial"/>
          <w:sz w:val="20"/>
          <w:szCs w:val="20"/>
        </w:rPr>
        <w:t xml:space="preserve">, hanedeki diğer kadınların işgücüne katılım ihtimalini artırması beklenir. Ancak ekonometrik analiz, beklenenin tam tersi bir ilişkiye işaret </w:t>
      </w:r>
      <w:r w:rsidRPr="00632EA8">
        <w:rPr>
          <w:rFonts w:ascii="Arial" w:hAnsi="Arial" w:cs="Arial"/>
          <w:sz w:val="20"/>
          <w:szCs w:val="20"/>
        </w:rPr>
        <w:t>etmektedir: Hanede işgücü</w:t>
      </w:r>
      <w:r w:rsidRPr="00A163C1">
        <w:rPr>
          <w:rFonts w:ascii="Arial" w:hAnsi="Arial" w:cs="Arial"/>
          <w:sz w:val="20"/>
          <w:szCs w:val="20"/>
        </w:rPr>
        <w:t xml:space="preserve"> piyasasında faal olmayan kadınların oranı arttıkça kadınların işgücüne katılımları düşmektedir. Diğer bir deyişle bakıma ihtiyaç duyan bireylere bakım sağlayabilecek kadınlar arttıkça hanedeki diğer kadınların işgücüne katılımının düşmektedir. </w:t>
      </w:r>
      <w:r>
        <w:rPr>
          <w:rFonts w:ascii="Arial" w:hAnsi="Arial" w:cs="Arial"/>
          <w:sz w:val="20"/>
          <w:szCs w:val="20"/>
        </w:rPr>
        <w:t xml:space="preserve">İlk akla gelen açıklama geleneksel aile yapısına dayanmaktadır. Daha geleneksel ailelerde haneler tek bir aileden değil, geniş aileden oluşur. Dolayısıyla evde çocuk ve yaşlı bakımı sağlayabilecek daha çok faal olmayan kadın bulunur. Ancak daha geleneksel aile yapısı aynı zamanda kadının işgücüne katılma ihtimalini düşürüyor olabilir. Bu bulgu kadın katılım oranlarında kültürel faktörlerin etkisini destekler niteliktedir. </w:t>
      </w:r>
    </w:p>
    <w:p w:rsidR="0094383C" w:rsidRDefault="0094383C" w:rsidP="00F81DC0">
      <w:pPr>
        <w:rPr>
          <w:rFonts w:ascii="Arial" w:hAnsi="Arial" w:cs="Arial"/>
          <w:sz w:val="20"/>
          <w:szCs w:val="20"/>
          <w:highlight w:val="yellow"/>
        </w:rPr>
      </w:pPr>
    </w:p>
    <w:p w:rsidR="0094383C" w:rsidRDefault="0094383C" w:rsidP="00F81DC0">
      <w:pPr>
        <w:rPr>
          <w:rFonts w:ascii="Arial" w:hAnsi="Arial" w:cs="Arial"/>
          <w:sz w:val="20"/>
          <w:szCs w:val="20"/>
        </w:rPr>
      </w:pPr>
    </w:p>
    <w:p w:rsidR="0094383C" w:rsidRPr="00DD1D8B" w:rsidRDefault="0094383C" w:rsidP="00F81DC0">
      <w:pPr>
        <w:rPr>
          <w:rFonts w:ascii="Arial" w:hAnsi="Arial" w:cs="Arial"/>
          <w:b/>
          <w:bCs/>
          <w:sz w:val="22"/>
          <w:szCs w:val="22"/>
        </w:rPr>
      </w:pPr>
      <w:r w:rsidRPr="00DD1D8B">
        <w:rPr>
          <w:rFonts w:ascii="Arial" w:hAnsi="Arial" w:cs="Arial"/>
          <w:b/>
          <w:bCs/>
          <w:sz w:val="22"/>
          <w:szCs w:val="22"/>
        </w:rPr>
        <w:t>Eğitim</w:t>
      </w:r>
      <w:r>
        <w:rPr>
          <w:rFonts w:ascii="Arial" w:hAnsi="Arial" w:cs="Arial"/>
          <w:b/>
          <w:bCs/>
          <w:sz w:val="22"/>
          <w:szCs w:val="22"/>
        </w:rPr>
        <w:t xml:space="preserve"> arttıkça işgücüne katılım artıyor </w:t>
      </w:r>
    </w:p>
    <w:p w:rsidR="0094383C" w:rsidRDefault="0094383C" w:rsidP="00F81DC0">
      <w:pPr>
        <w:rPr>
          <w:rFonts w:ascii="Arial" w:hAnsi="Arial" w:cs="Arial"/>
          <w:sz w:val="20"/>
          <w:szCs w:val="20"/>
        </w:rPr>
      </w:pPr>
    </w:p>
    <w:p w:rsidR="0094383C" w:rsidRDefault="0094383C" w:rsidP="00F105FC">
      <w:pPr>
        <w:rPr>
          <w:rFonts w:ascii="Arial" w:hAnsi="Arial" w:cs="Arial"/>
          <w:sz w:val="20"/>
          <w:szCs w:val="20"/>
        </w:rPr>
      </w:pPr>
      <w:r>
        <w:rPr>
          <w:rFonts w:ascii="Arial" w:hAnsi="Arial" w:cs="Arial"/>
          <w:sz w:val="20"/>
          <w:szCs w:val="20"/>
        </w:rPr>
        <w:t xml:space="preserve">Bireylerin zamanlarının kısıtlı olmasından hareketle işgücüne katılım kararını ev içi üretkenlikle işgücü piyasasındaki üretkenliğin bir karşılaştırması olarak değerlendirmek mümkündür. Eğitim seviyesi yükseldikçe birey işgücü piyasasında daha üretken olacak, zamanın karşılığında aldığı ücret daha yüksek olacaktır. Dolayısıyla daha yüksek eğitimli bireylerin zamanının fırsat maliyeti (çalışmamanın maliyeti) daha yüksektir. Diğer taraftan ev içi üretkenliğin eğitimle çok artmadığı düşünülebilir. Bu </w:t>
      </w:r>
      <w:r w:rsidR="00EE3787">
        <w:rPr>
          <w:rFonts w:ascii="Arial" w:hAnsi="Arial" w:cs="Arial"/>
          <w:sz w:val="20"/>
          <w:szCs w:val="20"/>
        </w:rPr>
        <w:t>durumda</w:t>
      </w:r>
      <w:r>
        <w:rPr>
          <w:rFonts w:ascii="Arial" w:hAnsi="Arial" w:cs="Arial"/>
          <w:sz w:val="20"/>
          <w:szCs w:val="20"/>
        </w:rPr>
        <w:t xml:space="preserve"> yüksek eğitimli bireylerin işgücüne</w:t>
      </w:r>
      <w:r w:rsidR="00EE3787">
        <w:rPr>
          <w:rFonts w:ascii="Arial" w:hAnsi="Arial" w:cs="Arial"/>
          <w:sz w:val="20"/>
          <w:szCs w:val="20"/>
        </w:rPr>
        <w:t xml:space="preserve"> katılım oranları</w:t>
      </w:r>
      <w:r w:rsidR="007A724F">
        <w:rPr>
          <w:rFonts w:ascii="Arial" w:hAnsi="Arial" w:cs="Arial"/>
          <w:sz w:val="20"/>
          <w:szCs w:val="20"/>
        </w:rPr>
        <w:t>nın</w:t>
      </w:r>
      <w:r w:rsidR="00EE3787">
        <w:rPr>
          <w:rFonts w:ascii="Arial" w:hAnsi="Arial" w:cs="Arial"/>
          <w:sz w:val="20"/>
          <w:szCs w:val="20"/>
        </w:rPr>
        <w:t xml:space="preserve"> daha yüksek olması beklenir</w:t>
      </w:r>
      <w:r>
        <w:rPr>
          <w:rFonts w:ascii="Arial" w:hAnsi="Arial" w:cs="Arial"/>
          <w:sz w:val="20"/>
          <w:szCs w:val="20"/>
        </w:rPr>
        <w:t xml:space="preserve">. </w:t>
      </w:r>
    </w:p>
    <w:p w:rsidR="0094383C" w:rsidRDefault="0094383C" w:rsidP="00F105FC">
      <w:pPr>
        <w:rPr>
          <w:rFonts w:ascii="Arial" w:hAnsi="Arial" w:cs="Arial"/>
          <w:sz w:val="20"/>
          <w:szCs w:val="20"/>
        </w:rPr>
      </w:pPr>
    </w:p>
    <w:p w:rsidR="0094383C" w:rsidRDefault="0094383C">
      <w:pPr>
        <w:rPr>
          <w:rFonts w:ascii="Arial" w:hAnsi="Arial" w:cs="Arial"/>
          <w:b/>
          <w:bCs/>
          <w:sz w:val="20"/>
          <w:szCs w:val="20"/>
          <w:lang w:eastAsia="ar-SA"/>
        </w:rPr>
      </w:pPr>
      <w:bookmarkStart w:id="1" w:name="_Ref346893510"/>
      <w:r>
        <w:rPr>
          <w:rFonts w:ascii="Arial" w:hAnsi="Arial" w:cs="Arial"/>
        </w:rPr>
        <w:br w:type="page"/>
      </w:r>
    </w:p>
    <w:p w:rsidR="0094383C" w:rsidRPr="009E6933" w:rsidRDefault="0094383C" w:rsidP="004D56D0">
      <w:pPr>
        <w:pStyle w:val="ResimYazs"/>
        <w:keepNext/>
        <w:rPr>
          <w:rFonts w:ascii="Arial" w:hAnsi="Arial" w:cs="Arial"/>
        </w:rPr>
      </w:pPr>
      <w:r>
        <w:rPr>
          <w:rFonts w:ascii="Arial" w:hAnsi="Arial" w:cs="Arial"/>
        </w:rPr>
        <w:lastRenderedPageBreak/>
        <w:t>Tablo</w:t>
      </w:r>
      <w:r w:rsidR="002C6A36" w:rsidRPr="009E6933">
        <w:rPr>
          <w:rFonts w:ascii="Arial" w:hAnsi="Arial" w:cs="Arial"/>
        </w:rPr>
        <w:fldChar w:fldCharType="begin"/>
      </w:r>
      <w:r w:rsidRPr="009E6933">
        <w:rPr>
          <w:rFonts w:ascii="Arial" w:hAnsi="Arial" w:cs="Arial"/>
        </w:rPr>
        <w:instrText xml:space="preserve"> SEQ Table \* ARABIC </w:instrText>
      </w:r>
      <w:r w:rsidR="002C6A36" w:rsidRPr="009E6933">
        <w:rPr>
          <w:rFonts w:ascii="Arial" w:hAnsi="Arial" w:cs="Arial"/>
        </w:rPr>
        <w:fldChar w:fldCharType="separate"/>
      </w:r>
      <w:r>
        <w:rPr>
          <w:rFonts w:ascii="Arial" w:hAnsi="Arial" w:cs="Arial"/>
          <w:noProof/>
        </w:rPr>
        <w:t>1</w:t>
      </w:r>
      <w:r w:rsidR="002C6A36" w:rsidRPr="009E6933">
        <w:rPr>
          <w:rFonts w:ascii="Arial" w:hAnsi="Arial" w:cs="Arial"/>
        </w:rPr>
        <w:fldChar w:fldCharType="end"/>
      </w:r>
      <w:bookmarkEnd w:id="1"/>
      <w:r w:rsidRPr="009E6933">
        <w:rPr>
          <w:rFonts w:ascii="Arial" w:hAnsi="Arial" w:cs="Arial"/>
        </w:rPr>
        <w:t xml:space="preserve"> Ekonometrik analiz sonuçları</w:t>
      </w:r>
    </w:p>
    <w:tbl>
      <w:tblPr>
        <w:tblW w:w="7726" w:type="dxa"/>
        <w:tblInd w:w="-106" w:type="dxa"/>
        <w:tblLook w:val="00A0"/>
      </w:tblPr>
      <w:tblGrid>
        <w:gridCol w:w="6074"/>
        <w:gridCol w:w="1652"/>
      </w:tblGrid>
      <w:tr w:rsidR="00821CCB" w:rsidRPr="000C371D" w:rsidTr="00821CCB">
        <w:trPr>
          <w:trHeight w:val="254"/>
        </w:trPr>
        <w:tc>
          <w:tcPr>
            <w:tcW w:w="6074" w:type="dxa"/>
            <w:tcBorders>
              <w:top w:val="single" w:sz="4" w:space="0" w:color="auto"/>
              <w:left w:val="nil"/>
              <w:bottom w:val="single" w:sz="4" w:space="0" w:color="auto"/>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 xml:space="preserve">Değişkenler </w:t>
            </w:r>
          </w:p>
        </w:tc>
        <w:tc>
          <w:tcPr>
            <w:tcW w:w="1652" w:type="dxa"/>
            <w:tcBorders>
              <w:top w:val="single" w:sz="4" w:space="0" w:color="auto"/>
              <w:left w:val="nil"/>
              <w:bottom w:val="single" w:sz="4" w:space="0" w:color="auto"/>
              <w:right w:val="nil"/>
            </w:tcBorders>
            <w:noWrap/>
            <w:vAlign w:val="center"/>
          </w:tcPr>
          <w:p w:rsidR="00821CCB" w:rsidRPr="00526638" w:rsidRDefault="00821CCB" w:rsidP="00B0547D">
            <w:pPr>
              <w:jc w:val="center"/>
              <w:rPr>
                <w:rFonts w:asciiTheme="minorHAnsi" w:hAnsiTheme="minorHAnsi" w:cs="Tahoma"/>
                <w:color w:val="000000"/>
                <w:sz w:val="18"/>
                <w:szCs w:val="18"/>
                <w:lang w:eastAsia="en-US"/>
              </w:rPr>
            </w:pP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 xml:space="preserve">Yaş </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0.392***</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Yaşın karesi</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-0.009***</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 xml:space="preserve">Yaşın kübü </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0.000***</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Okuryazar olmayan</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0.026***</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Bir okuldan mezun olmayan</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0.128***</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İlköğretim ya da ortaokul mezunu</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0.070***</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Genel lise mezunu</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0.302***</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Meslek lisesi mezunu</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0.603***</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Yüksek öğretim mezunu</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1.405***</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Evlenmemiş</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0.636***</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 xml:space="preserve">Boşanmış </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0.520***</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0 - 6 yaş çocuk oranı</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-1.197***</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 xml:space="preserve">7 - 14 yaş çocuk oranı </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-0.382***</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İnaktif kadın oranı</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-0.572***</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65 yaş üzeri birey oranı</w:t>
            </w:r>
          </w:p>
        </w:tc>
        <w:tc>
          <w:tcPr>
            <w:tcW w:w="1652" w:type="dxa"/>
            <w:tcBorders>
              <w:top w:val="nil"/>
              <w:left w:val="nil"/>
              <w:bottom w:val="nil"/>
              <w:right w:val="nil"/>
            </w:tcBorders>
            <w:noWrap/>
            <w:vAlign w:val="center"/>
          </w:tcPr>
          <w:p w:rsidR="00821CCB" w:rsidRPr="00526638" w:rsidRDefault="00586CAC" w:rsidP="00586CAC">
            <w:pP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-0.056**</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 xml:space="preserve">Ücretli çalışan başına ücret geliri </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-0.000***</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2- Tekirda</w:t>
            </w:r>
            <w:r w:rsidRPr="00526638">
              <w:rPr>
                <w:rFonts w:asciiTheme="minorHAnsi" w:hAnsiTheme="minorHAnsi"/>
                <w:sz w:val="18"/>
                <w:szCs w:val="18"/>
                <w:lang w:eastAsia="en-US"/>
              </w:rPr>
              <w:t>ğ</w:t>
            </w:r>
            <w:r w:rsidRPr="00526638">
              <w:rPr>
                <w:rFonts w:asciiTheme="minorHAnsi" w:hAnsiTheme="minorHAnsi" w:cs="Tahoma"/>
                <w:sz w:val="18"/>
                <w:szCs w:val="18"/>
                <w:lang w:eastAsia="en-US"/>
              </w:rPr>
              <w:t xml:space="preserve"> (Edirne-Tekirda</w:t>
            </w:r>
            <w:r w:rsidRPr="00526638">
              <w:rPr>
                <w:rFonts w:asciiTheme="minorHAnsi" w:hAnsiTheme="minorHAnsi"/>
                <w:sz w:val="18"/>
                <w:szCs w:val="18"/>
                <w:lang w:eastAsia="en-US"/>
              </w:rPr>
              <w:t>ğ</w:t>
            </w:r>
            <w:r w:rsidRPr="00526638">
              <w:rPr>
                <w:rFonts w:asciiTheme="minorHAnsi" w:hAnsiTheme="minorHAnsi" w:cs="Tahoma"/>
                <w:sz w:val="18"/>
                <w:szCs w:val="18"/>
                <w:lang w:eastAsia="en-US"/>
              </w:rPr>
              <w:t>-Kırklareli)</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0.358***</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3- Balıkesir (Balıkesir-Çanakkale)</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0.084***</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 xml:space="preserve">4- </w:t>
            </w:r>
            <w:r w:rsidRPr="00526638">
              <w:rPr>
                <w:rFonts w:asciiTheme="minorHAnsi" w:hAnsiTheme="minorHAnsi"/>
                <w:sz w:val="18"/>
                <w:szCs w:val="18"/>
                <w:lang w:eastAsia="en-US"/>
              </w:rPr>
              <w:t>İ</w:t>
            </w:r>
            <w:r w:rsidRPr="00526638">
              <w:rPr>
                <w:rFonts w:asciiTheme="minorHAnsi" w:hAnsiTheme="minorHAnsi" w:cs="Tahoma"/>
                <w:sz w:val="18"/>
                <w:szCs w:val="18"/>
                <w:lang w:eastAsia="en-US"/>
              </w:rPr>
              <w:t>zmir (</w:t>
            </w:r>
            <w:r w:rsidRPr="00526638">
              <w:rPr>
                <w:rFonts w:asciiTheme="minorHAnsi" w:hAnsiTheme="minorHAnsi"/>
                <w:sz w:val="18"/>
                <w:szCs w:val="18"/>
                <w:lang w:eastAsia="en-US"/>
              </w:rPr>
              <w:t>İ</w:t>
            </w:r>
            <w:r w:rsidRPr="00526638">
              <w:rPr>
                <w:rFonts w:asciiTheme="minorHAnsi" w:hAnsiTheme="minorHAnsi" w:cs="Tahoma"/>
                <w:sz w:val="18"/>
                <w:szCs w:val="18"/>
                <w:lang w:eastAsia="en-US"/>
              </w:rPr>
              <w:t>zmir)</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0.126***</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5- Aydın (Denizli-Aydın-Mu</w:t>
            </w:r>
            <w:r w:rsidRPr="00526638">
              <w:rPr>
                <w:rFonts w:asciiTheme="minorHAnsi" w:hAnsiTheme="minorHAnsi"/>
                <w:sz w:val="18"/>
                <w:szCs w:val="18"/>
                <w:lang w:eastAsia="en-US"/>
              </w:rPr>
              <w:t>ğ</w:t>
            </w:r>
            <w:r w:rsidRPr="00526638">
              <w:rPr>
                <w:rFonts w:asciiTheme="minorHAnsi" w:hAnsiTheme="minorHAnsi" w:cs="Tahoma"/>
                <w:sz w:val="18"/>
                <w:szCs w:val="18"/>
                <w:lang w:eastAsia="en-US"/>
              </w:rPr>
              <w:t>la)</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0.308***</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6- Manisa (Manisa-Afyonkarahisar-Kütahya-U</w:t>
            </w:r>
            <w:r w:rsidRPr="00526638">
              <w:rPr>
                <w:rFonts w:asciiTheme="minorHAnsi" w:hAnsiTheme="minorHAnsi"/>
                <w:sz w:val="18"/>
                <w:szCs w:val="18"/>
                <w:lang w:eastAsia="en-US"/>
              </w:rPr>
              <w:t>ş</w:t>
            </w:r>
            <w:r w:rsidRPr="00526638">
              <w:rPr>
                <w:rFonts w:asciiTheme="minorHAnsi" w:hAnsiTheme="minorHAnsi" w:cs="Tahoma"/>
                <w:sz w:val="18"/>
                <w:szCs w:val="18"/>
                <w:lang w:eastAsia="en-US"/>
              </w:rPr>
              <w:t>ak)</w:t>
            </w:r>
          </w:p>
        </w:tc>
        <w:tc>
          <w:tcPr>
            <w:tcW w:w="1652" w:type="dxa"/>
            <w:tcBorders>
              <w:top w:val="nil"/>
              <w:left w:val="nil"/>
              <w:bottom w:val="nil"/>
              <w:right w:val="nil"/>
            </w:tcBorders>
            <w:noWrap/>
            <w:vAlign w:val="center"/>
          </w:tcPr>
          <w:p w:rsidR="00821CCB" w:rsidRPr="00526638" w:rsidRDefault="00586CAC" w:rsidP="00586CAC">
            <w:pP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-0.024**</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7- Bursa (Bursa-Eski</w:t>
            </w:r>
            <w:r w:rsidRPr="00526638">
              <w:rPr>
                <w:rFonts w:asciiTheme="minorHAnsi" w:hAnsiTheme="minorHAnsi"/>
                <w:sz w:val="18"/>
                <w:szCs w:val="18"/>
                <w:lang w:eastAsia="en-US"/>
              </w:rPr>
              <w:t>ş</w:t>
            </w:r>
            <w:r w:rsidRPr="00526638">
              <w:rPr>
                <w:rFonts w:asciiTheme="minorHAnsi" w:hAnsiTheme="minorHAnsi" w:cs="Tahoma"/>
                <w:sz w:val="18"/>
                <w:szCs w:val="18"/>
                <w:lang w:eastAsia="en-US"/>
              </w:rPr>
              <w:t>ehir-Bilecik)</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0.212***</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8- Kocaeli (Kocaeli-Sakarya-Düzce-Bolu-Yalova)</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0.027***</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9- Ankara (Ankara)</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-0.049***</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10- Konya (Konya-Karaman)</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0.098***</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11- Antalya (Antalya-Isparta-Burdur)</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0.359***</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12- Adana (Adana-Mersin)</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0.134***</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13- Hatay (Hatay-Kahramanmara</w:t>
            </w:r>
            <w:r w:rsidRPr="00526638">
              <w:rPr>
                <w:rFonts w:asciiTheme="minorHAnsi" w:hAnsiTheme="minorHAnsi"/>
                <w:sz w:val="18"/>
                <w:szCs w:val="18"/>
                <w:lang w:eastAsia="en-US"/>
              </w:rPr>
              <w:t>ş</w:t>
            </w:r>
            <w:r w:rsidRPr="00526638">
              <w:rPr>
                <w:rFonts w:asciiTheme="minorHAnsi" w:hAnsiTheme="minorHAnsi" w:cs="Tahoma"/>
                <w:sz w:val="18"/>
                <w:szCs w:val="18"/>
                <w:lang w:eastAsia="en-US"/>
              </w:rPr>
              <w:t>-Osmaniye)</w:t>
            </w:r>
          </w:p>
        </w:tc>
        <w:tc>
          <w:tcPr>
            <w:tcW w:w="1652" w:type="dxa"/>
            <w:tcBorders>
              <w:top w:val="nil"/>
              <w:left w:val="nil"/>
              <w:bottom w:val="nil"/>
              <w:right w:val="nil"/>
            </w:tcBorders>
            <w:noWrap/>
            <w:vAlign w:val="center"/>
          </w:tcPr>
          <w:p w:rsidR="00821CCB" w:rsidRPr="00526638" w:rsidRDefault="00526638" w:rsidP="00526638">
            <w:pPr>
              <w:rPr>
                <w:rFonts w:asciiTheme="minorHAnsi" w:hAnsiTheme="minorHAnsi" w:cs="Tahoma"/>
                <w:color w:val="000000"/>
                <w:sz w:val="18"/>
                <w:szCs w:val="18"/>
              </w:rPr>
            </w:pPr>
            <w:r>
              <w:rPr>
                <w:rFonts w:asciiTheme="minorHAnsi" w:hAnsiTheme="minorHAnsi" w:cs="Tahoma"/>
                <w:color w:val="000000"/>
                <w:sz w:val="18"/>
                <w:szCs w:val="18"/>
              </w:rPr>
              <w:t xml:space="preserve">          </w:t>
            </w:r>
            <w:r w:rsidR="00586CAC">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0.005</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14- Kırıkkale (Nev</w:t>
            </w:r>
            <w:r w:rsidRPr="00526638">
              <w:rPr>
                <w:rFonts w:asciiTheme="minorHAnsi" w:hAnsiTheme="minorHAnsi"/>
                <w:sz w:val="18"/>
                <w:szCs w:val="18"/>
                <w:lang w:eastAsia="en-US"/>
              </w:rPr>
              <w:t>ş</w:t>
            </w:r>
            <w:r w:rsidRPr="00526638">
              <w:rPr>
                <w:rFonts w:asciiTheme="minorHAnsi" w:hAnsiTheme="minorHAnsi" w:cs="Tahoma"/>
                <w:sz w:val="18"/>
                <w:szCs w:val="18"/>
                <w:lang w:eastAsia="en-US"/>
              </w:rPr>
              <w:t>ehir-Aksaray-Ni</w:t>
            </w:r>
            <w:r w:rsidRPr="00526638">
              <w:rPr>
                <w:rFonts w:asciiTheme="minorHAnsi" w:hAnsiTheme="minorHAnsi"/>
                <w:sz w:val="18"/>
                <w:szCs w:val="18"/>
                <w:lang w:eastAsia="en-US"/>
              </w:rPr>
              <w:t>ğ</w:t>
            </w:r>
            <w:r w:rsidRPr="00526638">
              <w:rPr>
                <w:rFonts w:asciiTheme="minorHAnsi" w:hAnsiTheme="minorHAnsi" w:cs="Tahoma"/>
                <w:sz w:val="18"/>
                <w:szCs w:val="18"/>
                <w:lang w:eastAsia="en-US"/>
              </w:rPr>
              <w:t>de-Kırıkkale-Kır</w:t>
            </w:r>
            <w:r w:rsidRPr="00526638">
              <w:rPr>
                <w:rFonts w:asciiTheme="minorHAnsi" w:hAnsiTheme="minorHAnsi"/>
                <w:sz w:val="18"/>
                <w:szCs w:val="18"/>
                <w:lang w:eastAsia="en-US"/>
              </w:rPr>
              <w:t>ş</w:t>
            </w:r>
            <w:r w:rsidRPr="00526638">
              <w:rPr>
                <w:rFonts w:asciiTheme="minorHAnsi" w:hAnsiTheme="minorHAnsi" w:cs="Tahoma"/>
                <w:sz w:val="18"/>
                <w:szCs w:val="18"/>
                <w:lang w:eastAsia="en-US"/>
              </w:rPr>
              <w:t>ehir)</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-0.227***</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15- Kayseri (Kayseri-Sivas-Yozgat)</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-0.311***</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16- Zonguldak (Zonguldak-Karabük-Bartın)</w:t>
            </w:r>
          </w:p>
        </w:tc>
        <w:tc>
          <w:tcPr>
            <w:tcW w:w="1652" w:type="dxa"/>
            <w:tcBorders>
              <w:top w:val="nil"/>
              <w:left w:val="nil"/>
              <w:bottom w:val="nil"/>
              <w:right w:val="nil"/>
            </w:tcBorders>
            <w:noWrap/>
            <w:vAlign w:val="center"/>
          </w:tcPr>
          <w:p w:rsidR="00821CCB" w:rsidRPr="00526638" w:rsidRDefault="00526638" w:rsidP="00526638">
            <w:pPr>
              <w:rPr>
                <w:rFonts w:asciiTheme="minorHAnsi" w:hAnsiTheme="minorHAnsi" w:cs="Tahoma"/>
                <w:color w:val="000000"/>
                <w:sz w:val="18"/>
                <w:szCs w:val="18"/>
              </w:rPr>
            </w:pPr>
            <w:r>
              <w:rPr>
                <w:rFonts w:asciiTheme="minorHAnsi" w:hAnsiTheme="minorHAnsi" w:cs="Tahoma"/>
                <w:color w:val="000000"/>
                <w:sz w:val="18"/>
                <w:szCs w:val="18"/>
              </w:rPr>
              <w:t xml:space="preserve">          </w:t>
            </w:r>
            <w:r w:rsidR="00586CAC">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0.006</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17- Kastamonu (Kastamonu-Çankırı-Sinop)</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0.084***</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18- Samsun (Samsun-Tokat-Çorum-Amasya)</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0.166***</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19- Trabzon (Trabzon-Ordu-Giresun-Rize-Artvin-Gümü</w:t>
            </w:r>
            <w:r w:rsidRPr="00526638">
              <w:rPr>
                <w:rFonts w:asciiTheme="minorHAnsi" w:hAnsiTheme="minorHAnsi"/>
                <w:sz w:val="18"/>
                <w:szCs w:val="18"/>
                <w:lang w:eastAsia="en-US"/>
              </w:rPr>
              <w:t>ş</w:t>
            </w:r>
            <w:r w:rsidRPr="00526638">
              <w:rPr>
                <w:rFonts w:asciiTheme="minorHAnsi" w:hAnsiTheme="minorHAnsi" w:cs="Tahoma"/>
                <w:sz w:val="18"/>
                <w:szCs w:val="18"/>
                <w:lang w:eastAsia="en-US"/>
              </w:rPr>
              <w:t>hane)</w:t>
            </w:r>
          </w:p>
        </w:tc>
        <w:tc>
          <w:tcPr>
            <w:tcW w:w="1652" w:type="dxa"/>
            <w:tcBorders>
              <w:top w:val="nil"/>
              <w:left w:val="nil"/>
              <w:bottom w:val="nil"/>
              <w:right w:val="nil"/>
            </w:tcBorders>
            <w:noWrap/>
            <w:vAlign w:val="center"/>
          </w:tcPr>
          <w:p w:rsidR="00821CCB" w:rsidRPr="00526638" w:rsidRDefault="00586CAC" w:rsidP="00821CCB">
            <w:pPr>
              <w:jc w:val="center"/>
              <w:rPr>
                <w:rFonts w:asciiTheme="minorHAnsi" w:hAnsiTheme="minorHAnsi" w:cs="Tahoma"/>
                <w:color w:val="000000"/>
                <w:sz w:val="18"/>
                <w:szCs w:val="18"/>
              </w:rPr>
            </w:pPr>
            <w:r>
              <w:rPr>
                <w:rFonts w:asciiTheme="minorHAnsi" w:hAnsiTheme="minorHAnsi" w:cs="Tahoma"/>
                <w:color w:val="000000"/>
                <w:sz w:val="18"/>
                <w:szCs w:val="18"/>
              </w:rPr>
              <w:t xml:space="preserve"> </w:t>
            </w:r>
            <w:r w:rsidR="00821CCB" w:rsidRPr="00526638">
              <w:rPr>
                <w:rFonts w:asciiTheme="minorHAnsi" w:hAnsiTheme="minorHAnsi" w:cs="Tahoma"/>
                <w:color w:val="000000"/>
                <w:sz w:val="18"/>
                <w:szCs w:val="18"/>
              </w:rPr>
              <w:t>0.404***</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20- Erzurum (Erzurum-Erzincan-Bayburt)</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-0.173***</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21- A</w:t>
            </w:r>
            <w:r w:rsidRPr="00526638">
              <w:rPr>
                <w:rFonts w:asciiTheme="minorHAnsi" w:hAnsiTheme="minorHAnsi"/>
                <w:sz w:val="18"/>
                <w:szCs w:val="18"/>
                <w:lang w:eastAsia="en-US"/>
              </w:rPr>
              <w:t>ğ</w:t>
            </w:r>
            <w:r w:rsidRPr="00526638">
              <w:rPr>
                <w:rFonts w:asciiTheme="minorHAnsi" w:hAnsiTheme="minorHAnsi" w:cs="Tahoma"/>
                <w:sz w:val="18"/>
                <w:szCs w:val="18"/>
                <w:lang w:eastAsia="en-US"/>
              </w:rPr>
              <w:t>rı (Kars-A</w:t>
            </w:r>
            <w:r w:rsidRPr="00526638">
              <w:rPr>
                <w:rFonts w:asciiTheme="minorHAnsi" w:hAnsiTheme="minorHAnsi"/>
                <w:sz w:val="18"/>
                <w:szCs w:val="18"/>
                <w:lang w:eastAsia="en-US"/>
              </w:rPr>
              <w:t>ğ</w:t>
            </w:r>
            <w:r w:rsidRPr="00526638">
              <w:rPr>
                <w:rFonts w:asciiTheme="minorHAnsi" w:hAnsiTheme="minorHAnsi" w:cs="Tahoma"/>
                <w:sz w:val="18"/>
                <w:szCs w:val="18"/>
                <w:lang w:eastAsia="en-US"/>
              </w:rPr>
              <w:t>rı-I</w:t>
            </w:r>
            <w:r w:rsidRPr="00526638">
              <w:rPr>
                <w:rFonts w:asciiTheme="minorHAnsi" w:hAnsiTheme="minorHAnsi"/>
                <w:sz w:val="18"/>
                <w:szCs w:val="18"/>
                <w:lang w:eastAsia="en-US"/>
              </w:rPr>
              <w:t>ğ</w:t>
            </w:r>
            <w:r w:rsidRPr="00526638">
              <w:rPr>
                <w:rFonts w:asciiTheme="minorHAnsi" w:hAnsiTheme="minorHAnsi" w:cs="Tahoma"/>
                <w:sz w:val="18"/>
                <w:szCs w:val="18"/>
                <w:lang w:eastAsia="en-US"/>
              </w:rPr>
              <w:t>dır-Ardahan)</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-0.211***</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22- Malatya (Malatya-Elazı</w:t>
            </w:r>
            <w:r w:rsidRPr="00526638">
              <w:rPr>
                <w:rFonts w:asciiTheme="minorHAnsi" w:hAnsiTheme="minorHAnsi"/>
                <w:sz w:val="18"/>
                <w:szCs w:val="18"/>
                <w:lang w:eastAsia="en-US"/>
              </w:rPr>
              <w:t>ğ</w:t>
            </w:r>
            <w:r w:rsidRPr="00526638">
              <w:rPr>
                <w:rFonts w:asciiTheme="minorHAnsi" w:hAnsiTheme="minorHAnsi" w:cs="Tahoma"/>
                <w:sz w:val="18"/>
                <w:szCs w:val="18"/>
                <w:lang w:eastAsia="en-US"/>
              </w:rPr>
              <w:t>-Bingöl-Tunceli)</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-0.243***</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23- Van (Van-Mu</w:t>
            </w:r>
            <w:r w:rsidRPr="00526638">
              <w:rPr>
                <w:rFonts w:asciiTheme="minorHAnsi" w:hAnsiTheme="minorHAnsi"/>
                <w:sz w:val="18"/>
                <w:szCs w:val="18"/>
                <w:lang w:eastAsia="en-US"/>
              </w:rPr>
              <w:t>ş</w:t>
            </w:r>
            <w:r w:rsidRPr="00526638">
              <w:rPr>
                <w:rFonts w:asciiTheme="minorHAnsi" w:hAnsiTheme="minorHAnsi" w:cs="Tahoma"/>
                <w:sz w:val="18"/>
                <w:szCs w:val="18"/>
                <w:lang w:eastAsia="en-US"/>
              </w:rPr>
              <w:t>-Bitlis-Hakkari)</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-0.519***</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24- Gaziantep (Gaziantep-Adıyaman-Kilis)</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-0.374***</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 xml:space="preserve">25- </w:t>
            </w:r>
            <w:r w:rsidRPr="00526638">
              <w:rPr>
                <w:rFonts w:asciiTheme="minorHAnsi" w:hAnsiTheme="minorHAnsi"/>
                <w:sz w:val="18"/>
                <w:szCs w:val="18"/>
                <w:lang w:eastAsia="en-US"/>
              </w:rPr>
              <w:t>Ş</w:t>
            </w:r>
            <w:r w:rsidRPr="00526638">
              <w:rPr>
                <w:rFonts w:asciiTheme="minorHAnsi" w:hAnsiTheme="minorHAnsi" w:cs="Tahoma"/>
                <w:sz w:val="18"/>
                <w:szCs w:val="18"/>
                <w:lang w:eastAsia="en-US"/>
              </w:rPr>
              <w:t>anlıurfa (Diyarbakır-</w:t>
            </w:r>
            <w:r w:rsidRPr="00526638">
              <w:rPr>
                <w:rFonts w:asciiTheme="minorHAnsi" w:hAnsiTheme="minorHAnsi"/>
                <w:sz w:val="18"/>
                <w:szCs w:val="18"/>
                <w:lang w:eastAsia="en-US"/>
              </w:rPr>
              <w:t>Ş</w:t>
            </w:r>
            <w:r w:rsidRPr="00526638">
              <w:rPr>
                <w:rFonts w:asciiTheme="minorHAnsi" w:hAnsiTheme="minorHAnsi" w:cs="Tahoma"/>
                <w:sz w:val="18"/>
                <w:szCs w:val="18"/>
                <w:lang w:eastAsia="en-US"/>
              </w:rPr>
              <w:t>anlıurfa)</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-0.694***</w:t>
            </w:r>
          </w:p>
        </w:tc>
      </w:tr>
      <w:tr w:rsidR="00821CCB" w:rsidRPr="000C371D" w:rsidTr="00821CCB">
        <w:trPr>
          <w:trHeight w:val="254"/>
        </w:trPr>
        <w:tc>
          <w:tcPr>
            <w:tcW w:w="6074" w:type="dxa"/>
            <w:tcBorders>
              <w:top w:val="nil"/>
              <w:left w:val="nil"/>
              <w:bottom w:val="nil"/>
              <w:right w:val="nil"/>
            </w:tcBorders>
            <w:noWrap/>
            <w:vAlign w:val="center"/>
          </w:tcPr>
          <w:p w:rsidR="00821CCB" w:rsidRPr="00526638" w:rsidRDefault="00821CCB" w:rsidP="00B0547D">
            <w:pPr>
              <w:rPr>
                <w:rFonts w:asciiTheme="minorHAnsi" w:hAnsiTheme="minorHAnsi" w:cs="Tahoma"/>
                <w:sz w:val="18"/>
                <w:szCs w:val="18"/>
                <w:lang w:eastAsia="en-US"/>
              </w:rPr>
            </w:pPr>
            <w:r w:rsidRPr="00526638">
              <w:rPr>
                <w:rFonts w:asciiTheme="minorHAnsi" w:hAnsiTheme="minorHAnsi" w:cs="Tahoma"/>
                <w:sz w:val="18"/>
                <w:szCs w:val="18"/>
                <w:lang w:eastAsia="en-US"/>
              </w:rPr>
              <w:t>26- Mardin (Siirt-Mardin-Batman-</w:t>
            </w:r>
            <w:r w:rsidRPr="00526638">
              <w:rPr>
                <w:rFonts w:asciiTheme="minorHAnsi" w:hAnsiTheme="minorHAnsi"/>
                <w:sz w:val="18"/>
                <w:szCs w:val="18"/>
                <w:lang w:eastAsia="en-US"/>
              </w:rPr>
              <w:t>Ş</w:t>
            </w:r>
            <w:r w:rsidRPr="00526638">
              <w:rPr>
                <w:rFonts w:asciiTheme="minorHAnsi" w:hAnsiTheme="minorHAnsi" w:cs="Tahoma"/>
                <w:sz w:val="18"/>
                <w:szCs w:val="18"/>
                <w:lang w:eastAsia="en-US"/>
              </w:rPr>
              <w:t>ırnak)</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-0.620***</w:t>
            </w:r>
          </w:p>
        </w:tc>
      </w:tr>
      <w:tr w:rsidR="003B79B3" w:rsidRPr="00526638" w:rsidTr="00D525E7">
        <w:trPr>
          <w:trHeight w:val="254"/>
        </w:trPr>
        <w:tc>
          <w:tcPr>
            <w:tcW w:w="6074" w:type="dxa"/>
            <w:tcBorders>
              <w:top w:val="nil"/>
              <w:left w:val="nil"/>
              <w:bottom w:val="nil"/>
              <w:right w:val="nil"/>
            </w:tcBorders>
            <w:noWrap/>
            <w:vAlign w:val="center"/>
          </w:tcPr>
          <w:p w:rsidR="003B79B3" w:rsidRPr="000C371D" w:rsidRDefault="003B79B3" w:rsidP="00D525E7">
            <w:pPr>
              <w:rPr>
                <w:rFonts w:ascii="Calibri" w:hAnsi="Calibri" w:cs="Calibri"/>
                <w:color w:val="000000"/>
                <w:sz w:val="18"/>
                <w:szCs w:val="18"/>
                <w:lang w:eastAsia="en-US"/>
              </w:rPr>
            </w:pPr>
            <w:r w:rsidRPr="000C371D">
              <w:rPr>
                <w:rFonts w:ascii="Calibri" w:hAnsi="Calibri" w:cs="Calibri"/>
                <w:color w:val="000000"/>
                <w:sz w:val="18"/>
                <w:szCs w:val="18"/>
                <w:lang w:eastAsia="en-US"/>
              </w:rPr>
              <w:t>2004</w:t>
            </w:r>
          </w:p>
        </w:tc>
        <w:tc>
          <w:tcPr>
            <w:tcW w:w="1652" w:type="dxa"/>
            <w:tcBorders>
              <w:top w:val="nil"/>
              <w:left w:val="nil"/>
              <w:bottom w:val="nil"/>
              <w:right w:val="nil"/>
            </w:tcBorders>
            <w:noWrap/>
            <w:vAlign w:val="center"/>
          </w:tcPr>
          <w:p w:rsidR="003B79B3" w:rsidRPr="00526638" w:rsidRDefault="003B79B3" w:rsidP="00D525E7">
            <w:pPr>
              <w:jc w:val="center"/>
              <w:rPr>
                <w:rFonts w:asciiTheme="minorHAnsi" w:hAnsiTheme="minorHAnsi" w:cs="Tahoma"/>
                <w:color w:val="000000"/>
                <w:sz w:val="18"/>
                <w:szCs w:val="18"/>
              </w:rPr>
            </w:pPr>
            <w:r w:rsidRPr="00526638">
              <w:rPr>
                <w:rFonts w:asciiTheme="minorHAnsi" w:hAnsiTheme="minorHAnsi" w:cs="Tahoma"/>
                <w:color w:val="000000"/>
                <w:sz w:val="18"/>
                <w:szCs w:val="18"/>
              </w:rPr>
              <w:t>-0.165***</w:t>
            </w:r>
          </w:p>
        </w:tc>
      </w:tr>
      <w:tr w:rsidR="003B79B3" w:rsidRPr="00526638" w:rsidTr="00D525E7">
        <w:trPr>
          <w:trHeight w:val="254"/>
        </w:trPr>
        <w:tc>
          <w:tcPr>
            <w:tcW w:w="6074" w:type="dxa"/>
            <w:tcBorders>
              <w:top w:val="nil"/>
              <w:left w:val="nil"/>
              <w:bottom w:val="nil"/>
              <w:right w:val="nil"/>
            </w:tcBorders>
            <w:noWrap/>
            <w:vAlign w:val="center"/>
          </w:tcPr>
          <w:p w:rsidR="003B79B3" w:rsidRPr="000C371D" w:rsidRDefault="003B79B3" w:rsidP="00D525E7">
            <w:pPr>
              <w:rPr>
                <w:rFonts w:ascii="Calibri" w:hAnsi="Calibri" w:cs="Calibri"/>
                <w:color w:val="000000"/>
                <w:sz w:val="18"/>
                <w:szCs w:val="18"/>
                <w:lang w:eastAsia="en-US"/>
              </w:rPr>
            </w:pPr>
            <w:r w:rsidRPr="000C371D">
              <w:rPr>
                <w:rFonts w:ascii="Calibri" w:hAnsi="Calibri" w:cs="Calibri"/>
                <w:color w:val="000000"/>
                <w:sz w:val="18"/>
                <w:szCs w:val="18"/>
                <w:lang w:eastAsia="en-US"/>
              </w:rPr>
              <w:t>2005</w:t>
            </w:r>
          </w:p>
        </w:tc>
        <w:tc>
          <w:tcPr>
            <w:tcW w:w="1652" w:type="dxa"/>
            <w:tcBorders>
              <w:top w:val="nil"/>
              <w:left w:val="nil"/>
              <w:bottom w:val="nil"/>
              <w:right w:val="nil"/>
            </w:tcBorders>
            <w:noWrap/>
            <w:vAlign w:val="center"/>
          </w:tcPr>
          <w:p w:rsidR="003B79B3" w:rsidRPr="00526638" w:rsidRDefault="003B79B3" w:rsidP="00D525E7">
            <w:pPr>
              <w:jc w:val="center"/>
              <w:rPr>
                <w:rFonts w:asciiTheme="minorHAnsi" w:hAnsiTheme="minorHAnsi" w:cs="Tahoma"/>
                <w:color w:val="000000"/>
                <w:sz w:val="18"/>
                <w:szCs w:val="18"/>
              </w:rPr>
            </w:pPr>
            <w:r w:rsidRPr="00526638">
              <w:rPr>
                <w:rFonts w:asciiTheme="minorHAnsi" w:hAnsiTheme="minorHAnsi" w:cs="Tahoma"/>
                <w:color w:val="000000"/>
                <w:sz w:val="18"/>
                <w:szCs w:val="18"/>
              </w:rPr>
              <w:t>-0.173***</w:t>
            </w:r>
          </w:p>
        </w:tc>
      </w:tr>
      <w:tr w:rsidR="003B79B3" w:rsidRPr="00526638" w:rsidTr="00D525E7">
        <w:trPr>
          <w:trHeight w:val="254"/>
        </w:trPr>
        <w:tc>
          <w:tcPr>
            <w:tcW w:w="6074" w:type="dxa"/>
            <w:tcBorders>
              <w:top w:val="nil"/>
              <w:left w:val="nil"/>
              <w:bottom w:val="nil"/>
              <w:right w:val="nil"/>
            </w:tcBorders>
            <w:noWrap/>
            <w:vAlign w:val="center"/>
          </w:tcPr>
          <w:p w:rsidR="003B79B3" w:rsidRPr="000C371D" w:rsidRDefault="003B79B3" w:rsidP="00D525E7">
            <w:pPr>
              <w:rPr>
                <w:rFonts w:ascii="Calibri" w:hAnsi="Calibri" w:cs="Calibri"/>
                <w:color w:val="000000"/>
                <w:sz w:val="18"/>
                <w:szCs w:val="18"/>
                <w:lang w:eastAsia="en-US"/>
              </w:rPr>
            </w:pPr>
            <w:r w:rsidRPr="000C371D">
              <w:rPr>
                <w:rFonts w:ascii="Calibri" w:hAnsi="Calibri" w:cs="Calibri"/>
                <w:color w:val="000000"/>
                <w:sz w:val="18"/>
                <w:szCs w:val="18"/>
                <w:lang w:eastAsia="en-US"/>
              </w:rPr>
              <w:t>2006</w:t>
            </w:r>
          </w:p>
        </w:tc>
        <w:tc>
          <w:tcPr>
            <w:tcW w:w="1652" w:type="dxa"/>
            <w:tcBorders>
              <w:top w:val="nil"/>
              <w:left w:val="nil"/>
              <w:bottom w:val="nil"/>
              <w:right w:val="nil"/>
            </w:tcBorders>
            <w:noWrap/>
            <w:vAlign w:val="center"/>
          </w:tcPr>
          <w:p w:rsidR="003B79B3" w:rsidRPr="00526638" w:rsidRDefault="003B79B3" w:rsidP="00D525E7">
            <w:pPr>
              <w:jc w:val="center"/>
              <w:rPr>
                <w:rFonts w:asciiTheme="minorHAnsi" w:hAnsiTheme="minorHAnsi" w:cs="Tahoma"/>
                <w:color w:val="000000"/>
                <w:sz w:val="18"/>
                <w:szCs w:val="18"/>
              </w:rPr>
            </w:pPr>
            <w:r w:rsidRPr="00526638">
              <w:rPr>
                <w:rFonts w:asciiTheme="minorHAnsi" w:hAnsiTheme="minorHAnsi" w:cs="Tahoma"/>
                <w:color w:val="000000"/>
                <w:sz w:val="18"/>
                <w:szCs w:val="18"/>
              </w:rPr>
              <w:t>-0.154***</w:t>
            </w:r>
          </w:p>
        </w:tc>
      </w:tr>
      <w:tr w:rsidR="003B79B3" w:rsidRPr="00526638" w:rsidTr="00D525E7">
        <w:trPr>
          <w:trHeight w:val="254"/>
        </w:trPr>
        <w:tc>
          <w:tcPr>
            <w:tcW w:w="6074" w:type="dxa"/>
            <w:tcBorders>
              <w:top w:val="nil"/>
              <w:left w:val="nil"/>
              <w:bottom w:val="nil"/>
              <w:right w:val="nil"/>
            </w:tcBorders>
            <w:noWrap/>
            <w:vAlign w:val="center"/>
          </w:tcPr>
          <w:p w:rsidR="003B79B3" w:rsidRPr="000C371D" w:rsidRDefault="003B79B3" w:rsidP="00D525E7">
            <w:pPr>
              <w:rPr>
                <w:rFonts w:ascii="Calibri" w:hAnsi="Calibri" w:cs="Calibri"/>
                <w:color w:val="000000"/>
                <w:sz w:val="18"/>
                <w:szCs w:val="18"/>
                <w:lang w:eastAsia="en-US"/>
              </w:rPr>
            </w:pPr>
            <w:r w:rsidRPr="000C371D">
              <w:rPr>
                <w:rFonts w:ascii="Calibri" w:hAnsi="Calibri" w:cs="Calibri"/>
                <w:color w:val="000000"/>
                <w:sz w:val="18"/>
                <w:szCs w:val="18"/>
                <w:lang w:eastAsia="en-US"/>
              </w:rPr>
              <w:t>2007</w:t>
            </w:r>
          </w:p>
        </w:tc>
        <w:tc>
          <w:tcPr>
            <w:tcW w:w="1652" w:type="dxa"/>
            <w:tcBorders>
              <w:top w:val="nil"/>
              <w:left w:val="nil"/>
              <w:bottom w:val="nil"/>
              <w:right w:val="nil"/>
            </w:tcBorders>
            <w:noWrap/>
            <w:vAlign w:val="center"/>
          </w:tcPr>
          <w:p w:rsidR="003B79B3" w:rsidRPr="00526638" w:rsidRDefault="003B79B3" w:rsidP="00D525E7">
            <w:pPr>
              <w:jc w:val="center"/>
              <w:rPr>
                <w:rFonts w:asciiTheme="minorHAnsi" w:hAnsiTheme="minorHAnsi" w:cs="Tahoma"/>
                <w:color w:val="000000"/>
                <w:sz w:val="18"/>
                <w:szCs w:val="18"/>
              </w:rPr>
            </w:pPr>
            <w:r w:rsidRPr="00526638">
              <w:rPr>
                <w:rFonts w:asciiTheme="minorHAnsi" w:hAnsiTheme="minorHAnsi" w:cs="Tahoma"/>
                <w:color w:val="000000"/>
                <w:sz w:val="18"/>
                <w:szCs w:val="18"/>
              </w:rPr>
              <w:t>-0.168***</w:t>
            </w:r>
          </w:p>
        </w:tc>
      </w:tr>
      <w:tr w:rsidR="003B79B3" w:rsidRPr="00526638" w:rsidTr="00D525E7">
        <w:trPr>
          <w:trHeight w:val="254"/>
        </w:trPr>
        <w:tc>
          <w:tcPr>
            <w:tcW w:w="6074" w:type="dxa"/>
            <w:tcBorders>
              <w:top w:val="nil"/>
              <w:left w:val="nil"/>
              <w:bottom w:val="nil"/>
              <w:right w:val="nil"/>
            </w:tcBorders>
            <w:noWrap/>
            <w:vAlign w:val="center"/>
          </w:tcPr>
          <w:p w:rsidR="003B79B3" w:rsidRPr="000C371D" w:rsidRDefault="003B79B3" w:rsidP="00D525E7">
            <w:pPr>
              <w:rPr>
                <w:rFonts w:ascii="Calibri" w:hAnsi="Calibri" w:cs="Calibri"/>
                <w:color w:val="000000"/>
                <w:sz w:val="18"/>
                <w:szCs w:val="18"/>
                <w:lang w:eastAsia="en-US"/>
              </w:rPr>
            </w:pPr>
            <w:r w:rsidRPr="000C371D">
              <w:rPr>
                <w:rFonts w:ascii="Calibri" w:hAnsi="Calibri" w:cs="Calibri"/>
                <w:color w:val="000000"/>
                <w:sz w:val="18"/>
                <w:szCs w:val="18"/>
                <w:lang w:eastAsia="en-US"/>
              </w:rPr>
              <w:t>2008</w:t>
            </w:r>
          </w:p>
        </w:tc>
        <w:tc>
          <w:tcPr>
            <w:tcW w:w="1652" w:type="dxa"/>
            <w:tcBorders>
              <w:top w:val="nil"/>
              <w:left w:val="nil"/>
              <w:bottom w:val="nil"/>
              <w:right w:val="nil"/>
            </w:tcBorders>
            <w:noWrap/>
            <w:vAlign w:val="center"/>
          </w:tcPr>
          <w:p w:rsidR="003B79B3" w:rsidRPr="00526638" w:rsidRDefault="003B79B3" w:rsidP="00D525E7">
            <w:pPr>
              <w:jc w:val="center"/>
              <w:rPr>
                <w:rFonts w:asciiTheme="minorHAnsi" w:hAnsiTheme="minorHAnsi" w:cs="Tahoma"/>
                <w:color w:val="000000"/>
                <w:sz w:val="18"/>
                <w:szCs w:val="18"/>
              </w:rPr>
            </w:pPr>
            <w:r w:rsidRPr="00526638">
              <w:rPr>
                <w:rFonts w:asciiTheme="minorHAnsi" w:hAnsiTheme="minorHAnsi" w:cs="Tahoma"/>
                <w:color w:val="000000"/>
                <w:sz w:val="18"/>
                <w:szCs w:val="18"/>
              </w:rPr>
              <w:t>-0.128***</w:t>
            </w:r>
          </w:p>
        </w:tc>
      </w:tr>
      <w:tr w:rsidR="003B79B3" w:rsidRPr="00526638" w:rsidTr="00D525E7">
        <w:trPr>
          <w:trHeight w:val="254"/>
        </w:trPr>
        <w:tc>
          <w:tcPr>
            <w:tcW w:w="6074" w:type="dxa"/>
            <w:tcBorders>
              <w:top w:val="nil"/>
              <w:left w:val="nil"/>
              <w:bottom w:val="nil"/>
              <w:right w:val="nil"/>
            </w:tcBorders>
            <w:noWrap/>
            <w:vAlign w:val="center"/>
          </w:tcPr>
          <w:p w:rsidR="003B79B3" w:rsidRPr="000C371D" w:rsidRDefault="003B79B3" w:rsidP="00D525E7">
            <w:pPr>
              <w:rPr>
                <w:rFonts w:ascii="Calibri" w:hAnsi="Calibri" w:cs="Calibri"/>
                <w:color w:val="000000"/>
                <w:sz w:val="18"/>
                <w:szCs w:val="18"/>
                <w:lang w:eastAsia="en-US"/>
              </w:rPr>
            </w:pPr>
            <w:r w:rsidRPr="000C371D">
              <w:rPr>
                <w:rFonts w:ascii="Calibri" w:hAnsi="Calibri" w:cs="Calibri"/>
                <w:color w:val="000000"/>
                <w:sz w:val="18"/>
                <w:szCs w:val="18"/>
                <w:lang w:eastAsia="en-US"/>
              </w:rPr>
              <w:t>2009</w:t>
            </w:r>
          </w:p>
        </w:tc>
        <w:tc>
          <w:tcPr>
            <w:tcW w:w="1652" w:type="dxa"/>
            <w:tcBorders>
              <w:top w:val="nil"/>
              <w:left w:val="nil"/>
              <w:bottom w:val="nil"/>
              <w:right w:val="nil"/>
            </w:tcBorders>
            <w:noWrap/>
            <w:vAlign w:val="center"/>
          </w:tcPr>
          <w:p w:rsidR="003B79B3" w:rsidRPr="00526638" w:rsidRDefault="003B79B3" w:rsidP="00D525E7">
            <w:pPr>
              <w:jc w:val="center"/>
              <w:rPr>
                <w:rFonts w:asciiTheme="minorHAnsi" w:hAnsiTheme="minorHAnsi" w:cs="Tahoma"/>
                <w:color w:val="000000"/>
                <w:sz w:val="18"/>
                <w:szCs w:val="18"/>
              </w:rPr>
            </w:pPr>
            <w:r w:rsidRPr="00526638">
              <w:rPr>
                <w:rFonts w:asciiTheme="minorHAnsi" w:hAnsiTheme="minorHAnsi" w:cs="Tahoma"/>
                <w:color w:val="000000"/>
                <w:sz w:val="18"/>
                <w:szCs w:val="18"/>
              </w:rPr>
              <w:t>-0.068***</w:t>
            </w:r>
          </w:p>
        </w:tc>
      </w:tr>
      <w:tr w:rsidR="003B79B3" w:rsidRPr="00526638" w:rsidTr="00D525E7">
        <w:trPr>
          <w:trHeight w:val="254"/>
        </w:trPr>
        <w:tc>
          <w:tcPr>
            <w:tcW w:w="6074" w:type="dxa"/>
            <w:tcBorders>
              <w:top w:val="nil"/>
              <w:left w:val="nil"/>
              <w:bottom w:val="nil"/>
              <w:right w:val="nil"/>
            </w:tcBorders>
            <w:noWrap/>
            <w:vAlign w:val="center"/>
          </w:tcPr>
          <w:p w:rsidR="003B79B3" w:rsidRPr="000C371D" w:rsidRDefault="003B79B3" w:rsidP="00D525E7">
            <w:pPr>
              <w:rPr>
                <w:rFonts w:ascii="Calibri" w:hAnsi="Calibri" w:cs="Calibri"/>
                <w:color w:val="000000"/>
                <w:sz w:val="18"/>
                <w:szCs w:val="18"/>
                <w:lang w:eastAsia="en-US"/>
              </w:rPr>
            </w:pPr>
            <w:r w:rsidRPr="000C371D">
              <w:rPr>
                <w:rFonts w:ascii="Calibri" w:hAnsi="Calibri" w:cs="Calibri"/>
                <w:color w:val="000000"/>
                <w:sz w:val="18"/>
                <w:szCs w:val="18"/>
                <w:lang w:eastAsia="en-US"/>
              </w:rPr>
              <w:t>2010</w:t>
            </w:r>
          </w:p>
        </w:tc>
        <w:tc>
          <w:tcPr>
            <w:tcW w:w="1652" w:type="dxa"/>
            <w:tcBorders>
              <w:top w:val="nil"/>
              <w:left w:val="nil"/>
              <w:bottom w:val="nil"/>
              <w:right w:val="nil"/>
            </w:tcBorders>
            <w:noWrap/>
            <w:vAlign w:val="center"/>
          </w:tcPr>
          <w:p w:rsidR="003B79B3" w:rsidRPr="00526638" w:rsidRDefault="003B79B3" w:rsidP="00D525E7">
            <w:pPr>
              <w:rPr>
                <w:rFonts w:asciiTheme="minorHAnsi" w:hAnsiTheme="minorHAnsi" w:cs="Tahoma"/>
                <w:color w:val="000000"/>
                <w:sz w:val="18"/>
                <w:szCs w:val="18"/>
              </w:rPr>
            </w:pPr>
            <w:r>
              <w:rPr>
                <w:rFonts w:asciiTheme="minorHAnsi" w:hAnsiTheme="minorHAnsi" w:cs="Tahoma"/>
                <w:color w:val="000000"/>
                <w:sz w:val="18"/>
                <w:szCs w:val="18"/>
              </w:rPr>
              <w:t xml:space="preserve">         </w:t>
            </w:r>
            <w:r w:rsidRPr="00526638">
              <w:rPr>
                <w:rFonts w:asciiTheme="minorHAnsi" w:hAnsiTheme="minorHAnsi" w:cs="Tahoma"/>
                <w:color w:val="000000"/>
                <w:sz w:val="18"/>
                <w:szCs w:val="18"/>
              </w:rPr>
              <w:t>-0.016**</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 xml:space="preserve">Sabit terim </w:t>
            </w:r>
          </w:p>
        </w:tc>
        <w:tc>
          <w:tcPr>
            <w:tcW w:w="1652" w:type="dxa"/>
            <w:tcBorders>
              <w:top w:val="nil"/>
              <w:left w:val="nil"/>
              <w:bottom w:val="nil"/>
              <w:right w:val="nil"/>
            </w:tcBorders>
            <w:noWrap/>
            <w:vAlign w:val="center"/>
          </w:tcPr>
          <w:p w:rsidR="00821CCB" w:rsidRPr="00526638" w:rsidRDefault="00821CCB" w:rsidP="00821CCB">
            <w:pPr>
              <w:jc w:val="center"/>
              <w:rPr>
                <w:rFonts w:asciiTheme="minorHAnsi" w:hAnsiTheme="minorHAnsi" w:cs="Tahoma"/>
                <w:color w:val="000000"/>
                <w:sz w:val="18"/>
                <w:szCs w:val="18"/>
              </w:rPr>
            </w:pPr>
            <w:r w:rsidRPr="00526638">
              <w:rPr>
                <w:rFonts w:asciiTheme="minorHAnsi" w:hAnsiTheme="minorHAnsi" w:cs="Tahoma"/>
                <w:color w:val="000000"/>
                <w:sz w:val="18"/>
                <w:szCs w:val="18"/>
              </w:rPr>
              <w:t>-5.927***</w:t>
            </w:r>
          </w:p>
        </w:tc>
      </w:tr>
      <w:tr w:rsidR="00821CCB" w:rsidRPr="000C371D" w:rsidTr="00821CCB">
        <w:trPr>
          <w:trHeight w:val="254"/>
        </w:trPr>
        <w:tc>
          <w:tcPr>
            <w:tcW w:w="6074" w:type="dxa"/>
            <w:tcBorders>
              <w:top w:val="single" w:sz="4" w:space="0" w:color="auto"/>
              <w:left w:val="nil"/>
              <w:bottom w:val="single" w:sz="4" w:space="0" w:color="auto"/>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Gözlem sayısı</w:t>
            </w:r>
          </w:p>
        </w:tc>
        <w:tc>
          <w:tcPr>
            <w:tcW w:w="1652" w:type="dxa"/>
            <w:tcBorders>
              <w:top w:val="single" w:sz="4" w:space="0" w:color="auto"/>
              <w:left w:val="nil"/>
              <w:bottom w:val="single" w:sz="4" w:space="0" w:color="auto"/>
              <w:right w:val="nil"/>
            </w:tcBorders>
            <w:noWrap/>
            <w:vAlign w:val="center"/>
          </w:tcPr>
          <w:p w:rsidR="00821CCB" w:rsidRPr="00526638" w:rsidRDefault="00821CCB" w:rsidP="00B0547D">
            <w:pPr>
              <w:jc w:val="center"/>
              <w:rPr>
                <w:rFonts w:asciiTheme="minorHAnsi" w:hAnsiTheme="minorHAnsi" w:cs="Tahoma"/>
                <w:color w:val="000000"/>
                <w:sz w:val="18"/>
                <w:szCs w:val="18"/>
                <w:lang w:eastAsia="en-US"/>
              </w:rPr>
            </w:pPr>
            <w:r w:rsidRPr="00526638">
              <w:rPr>
                <w:rFonts w:asciiTheme="minorHAnsi" w:hAnsiTheme="minorHAnsi" w:cs="Tahoma"/>
                <w:color w:val="000000"/>
                <w:sz w:val="18"/>
                <w:szCs w:val="18"/>
                <w:lang w:eastAsia="en-US"/>
              </w:rPr>
              <w:t>930,713</w:t>
            </w:r>
          </w:p>
        </w:tc>
      </w:tr>
      <w:tr w:rsidR="00821CCB" w:rsidRPr="000C371D" w:rsidTr="00821CCB">
        <w:trPr>
          <w:trHeight w:val="254"/>
        </w:trPr>
        <w:tc>
          <w:tcPr>
            <w:tcW w:w="6074" w:type="dxa"/>
            <w:tcBorders>
              <w:top w:val="nil"/>
              <w:left w:val="nil"/>
              <w:bottom w:val="nil"/>
              <w:right w:val="nil"/>
            </w:tcBorders>
            <w:noWrap/>
            <w:vAlign w:val="center"/>
          </w:tcPr>
          <w:p w:rsidR="00821CCB" w:rsidRPr="000C371D" w:rsidRDefault="00821CCB" w:rsidP="00B0547D">
            <w:pPr>
              <w:rPr>
                <w:rFonts w:ascii="Calibri" w:hAnsi="Calibri" w:cs="Calibri"/>
                <w:color w:val="000000"/>
                <w:sz w:val="18"/>
                <w:szCs w:val="18"/>
                <w:lang w:eastAsia="en-US"/>
              </w:rPr>
            </w:pPr>
            <w:r w:rsidRPr="000C371D">
              <w:rPr>
                <w:rFonts w:ascii="Calibri" w:hAnsi="Calibri" w:cs="Calibri"/>
                <w:color w:val="000000"/>
                <w:sz w:val="18"/>
                <w:szCs w:val="18"/>
                <w:lang w:eastAsia="en-US"/>
              </w:rPr>
              <w:t>*** p&lt;0.01, ** p&lt;0.05, * p&lt;0.1</w:t>
            </w:r>
          </w:p>
        </w:tc>
        <w:tc>
          <w:tcPr>
            <w:tcW w:w="1652" w:type="dxa"/>
            <w:tcBorders>
              <w:top w:val="nil"/>
              <w:left w:val="nil"/>
              <w:bottom w:val="nil"/>
              <w:right w:val="nil"/>
            </w:tcBorders>
            <w:noWrap/>
            <w:vAlign w:val="center"/>
          </w:tcPr>
          <w:p w:rsidR="00821CCB" w:rsidRPr="00526638" w:rsidRDefault="00821CCB" w:rsidP="00B0547D">
            <w:pPr>
              <w:jc w:val="center"/>
              <w:rPr>
                <w:rFonts w:asciiTheme="minorHAnsi" w:hAnsiTheme="minorHAnsi" w:cs="Tahoma"/>
                <w:color w:val="000000"/>
                <w:sz w:val="18"/>
                <w:szCs w:val="18"/>
                <w:lang w:eastAsia="en-US"/>
              </w:rPr>
            </w:pPr>
          </w:p>
        </w:tc>
      </w:tr>
    </w:tbl>
    <w:p w:rsidR="0094383C" w:rsidRDefault="0094383C" w:rsidP="0065068B">
      <w:pPr>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Ekonometrik analiz sonuçları beklenen ilişkiyi doğrulamaktadır. İlkokul mezunlarına kıyasla daha yüksek eğitimli kadınların işgücüne katılma ihtimallerinin daha yüksek olduğu görülmektedir. Diğer taraftan kentlerde okuryazar olmayan ya da herhangi bir okul mezunu olmayan kadınların işgücüne katılım oranlarının da ilkokul mezunu kadınlara kıyasla daha yüksek olduğu görülmektedir. Burada ekonometrik analizin önemine dikkat çekmek gerekir. Okuryazar olmayan kadınlar aynı zamanda daha erken yaşta evlenen, daha erken ve çok çocuk sahibi olan vs. kadınlar olabilir. Bu durumda okuryazar olmayan kadınların işgücüne katılım oranlarının ilkokul mezunu kadınlara kıyasla daha düşük olması beklenir. Ancak ekonometrik analizde bütün diğer faktörleri benzer olan, biri okuryazar olmayan diğeri ilkokul mezunu iki kadının katılım ihtimallerini karşılaştırdığı unutulmamalıdır. Diğer bir deyişle, aynı yaşta, aynı sayıda çocuk sahibi, hane kompozisyonu benzer, aynı bölgede oturan iki kadından okuryazar olmayanın işgücüne katılma oranı daha yüksektir. Bu sonuç veride tam olarak ölçemediğimiz hane gelirinin etkili olabileceğine işaret etmektedir. </w:t>
      </w:r>
      <w:r w:rsidR="00A436C3">
        <w:rPr>
          <w:rFonts w:ascii="Arial" w:hAnsi="Arial" w:cs="Arial"/>
          <w:sz w:val="20"/>
          <w:szCs w:val="20"/>
        </w:rPr>
        <w:t xml:space="preserve">Hane gelirinin belli bir seviyenin altında düştüğü hanelerde ya da durumlarda kadınların işgücüne katılımlarının arttığı görülmektedir. </w:t>
      </w:r>
      <w:r>
        <w:rPr>
          <w:rFonts w:ascii="Arial" w:hAnsi="Arial" w:cs="Arial"/>
          <w:sz w:val="20"/>
          <w:szCs w:val="20"/>
        </w:rPr>
        <w:t xml:space="preserve">Bu noktaya aşağıda daha ayrıntılı değinilecektir. </w:t>
      </w:r>
    </w:p>
    <w:p w:rsidR="0094383C" w:rsidRDefault="0094383C" w:rsidP="00F81DC0">
      <w:pPr>
        <w:rPr>
          <w:rFonts w:ascii="Arial" w:hAnsi="Arial" w:cs="Arial"/>
          <w:sz w:val="20"/>
          <w:szCs w:val="20"/>
        </w:rPr>
      </w:pPr>
    </w:p>
    <w:p w:rsidR="00E049BB" w:rsidRPr="00DD1D8B" w:rsidRDefault="00E049BB" w:rsidP="00E049BB">
      <w:pPr>
        <w:rPr>
          <w:rFonts w:ascii="Arial" w:hAnsi="Arial" w:cs="Arial"/>
          <w:b/>
          <w:bCs/>
          <w:sz w:val="22"/>
          <w:szCs w:val="22"/>
        </w:rPr>
      </w:pPr>
      <w:r w:rsidRPr="00872D56">
        <w:rPr>
          <w:rFonts w:ascii="Arial" w:hAnsi="Arial" w:cs="Arial"/>
          <w:b/>
          <w:bCs/>
          <w:sz w:val="22"/>
          <w:szCs w:val="22"/>
        </w:rPr>
        <w:t>Hane geliri arttıkça işgücüne katılım düşüyor</w:t>
      </w:r>
      <w:r>
        <w:rPr>
          <w:rFonts w:ascii="Arial" w:hAnsi="Arial" w:cs="Arial"/>
          <w:b/>
          <w:bCs/>
          <w:sz w:val="22"/>
          <w:szCs w:val="22"/>
        </w:rPr>
        <w:t xml:space="preserve"> </w:t>
      </w:r>
    </w:p>
    <w:p w:rsidR="00E049BB" w:rsidRDefault="00E049BB" w:rsidP="00E049BB">
      <w:pPr>
        <w:rPr>
          <w:rFonts w:ascii="Arial" w:hAnsi="Arial" w:cs="Arial"/>
          <w:sz w:val="20"/>
          <w:szCs w:val="20"/>
        </w:rPr>
      </w:pPr>
    </w:p>
    <w:p w:rsidR="00E049BB" w:rsidRDefault="00E049BB" w:rsidP="00E049BB">
      <w:pPr>
        <w:rPr>
          <w:rFonts w:ascii="Arial" w:hAnsi="Arial" w:cs="Arial"/>
          <w:sz w:val="20"/>
          <w:szCs w:val="20"/>
        </w:rPr>
      </w:pPr>
      <w:r>
        <w:rPr>
          <w:rFonts w:ascii="Arial" w:hAnsi="Arial" w:cs="Arial"/>
          <w:sz w:val="20"/>
          <w:szCs w:val="20"/>
        </w:rPr>
        <w:t xml:space="preserve">İktisat teorisine göre gelir ile işgücüne katılım arasında önce artan sonra azalan bir ilişki vardır. Gelirin artmasıyla işgücüne katılım oranları önce artar, gelirin belli bir seviyeyi geçmesiyle beraber işgücüne </w:t>
      </w:r>
      <w:r w:rsidRPr="00D7118E">
        <w:rPr>
          <w:rFonts w:ascii="Arial" w:hAnsi="Arial" w:cs="Arial"/>
          <w:sz w:val="20"/>
          <w:szCs w:val="20"/>
        </w:rPr>
        <w:t>katılım oranları düşer. Hane gelirinin kadın katılımı üzerindeki etkisini araştırmak için çalışan kadının geliri hariç</w:t>
      </w:r>
      <w:r>
        <w:rPr>
          <w:rFonts w:ascii="Arial" w:hAnsi="Arial" w:cs="Arial"/>
          <w:sz w:val="20"/>
          <w:szCs w:val="20"/>
        </w:rPr>
        <w:t xml:space="preserve"> hanede çalışan birey başına düşen ücret geliri analize dâhil edilmiştir.</w:t>
      </w:r>
      <w:r>
        <w:rPr>
          <w:rStyle w:val="DipnotBavurusu"/>
          <w:rFonts w:ascii="Arial" w:hAnsi="Arial" w:cs="Arial"/>
          <w:sz w:val="20"/>
          <w:szCs w:val="20"/>
        </w:rPr>
        <w:footnoteReference w:id="5"/>
      </w:r>
      <w:r>
        <w:rPr>
          <w:rFonts w:ascii="Arial" w:hAnsi="Arial" w:cs="Arial"/>
          <w:sz w:val="20"/>
          <w:szCs w:val="20"/>
        </w:rPr>
        <w:t xml:space="preserve"> Sonuçlar diğer her etken aynı kalmak </w:t>
      </w:r>
      <w:r w:rsidRPr="009C6E09">
        <w:rPr>
          <w:rFonts w:ascii="Arial" w:hAnsi="Arial" w:cs="Arial"/>
          <w:sz w:val="20"/>
          <w:szCs w:val="20"/>
        </w:rPr>
        <w:t>kaydıyla diğer hane bireylerinin</w:t>
      </w:r>
      <w:r>
        <w:rPr>
          <w:rFonts w:ascii="Arial" w:hAnsi="Arial" w:cs="Arial"/>
          <w:sz w:val="20"/>
          <w:szCs w:val="20"/>
        </w:rPr>
        <w:t xml:space="preserve"> ücret gelirlerinin artmasına paralel olarak kadınların işgücüne katılma olasılığının düştüğünü göstermektedir. </w:t>
      </w:r>
    </w:p>
    <w:p w:rsidR="0094383C" w:rsidRDefault="0094383C" w:rsidP="00F81DC0">
      <w:pPr>
        <w:rPr>
          <w:rFonts w:ascii="Arial" w:hAnsi="Arial" w:cs="Arial"/>
          <w:sz w:val="20"/>
          <w:szCs w:val="20"/>
        </w:rPr>
      </w:pPr>
    </w:p>
    <w:p w:rsidR="0094383C" w:rsidRDefault="0094383C" w:rsidP="00B63D76">
      <w:pPr>
        <w:rPr>
          <w:rFonts w:ascii="Arial" w:hAnsi="Arial" w:cs="Arial"/>
          <w:sz w:val="20"/>
          <w:szCs w:val="20"/>
        </w:rPr>
      </w:pPr>
    </w:p>
    <w:p w:rsidR="0094383C" w:rsidRPr="00DD1D8B" w:rsidRDefault="0094383C" w:rsidP="00B63D76">
      <w:pPr>
        <w:rPr>
          <w:rFonts w:ascii="Arial" w:hAnsi="Arial" w:cs="Arial"/>
          <w:b/>
          <w:bCs/>
          <w:sz w:val="22"/>
          <w:szCs w:val="22"/>
        </w:rPr>
      </w:pPr>
      <w:r w:rsidRPr="00872D56">
        <w:rPr>
          <w:rFonts w:ascii="Arial" w:hAnsi="Arial" w:cs="Arial"/>
          <w:b/>
          <w:bCs/>
          <w:sz w:val="22"/>
          <w:szCs w:val="22"/>
        </w:rPr>
        <w:t>Kadın katılımında bölge önemli</w:t>
      </w:r>
      <w:r>
        <w:rPr>
          <w:rFonts w:ascii="Arial" w:hAnsi="Arial" w:cs="Arial"/>
          <w:b/>
          <w:bCs/>
          <w:sz w:val="22"/>
          <w:szCs w:val="22"/>
        </w:rPr>
        <w:t xml:space="preserve"> </w:t>
      </w:r>
    </w:p>
    <w:p w:rsidR="0094383C" w:rsidRDefault="0094383C" w:rsidP="00B63D76">
      <w:pPr>
        <w:rPr>
          <w:rFonts w:ascii="Arial" w:hAnsi="Arial" w:cs="Arial"/>
          <w:sz w:val="20"/>
          <w:szCs w:val="20"/>
        </w:rPr>
      </w:pPr>
    </w:p>
    <w:p w:rsidR="0094383C" w:rsidRDefault="0094383C" w:rsidP="00B63D76">
      <w:pPr>
        <w:rPr>
          <w:rFonts w:ascii="Arial" w:hAnsi="Arial" w:cs="Arial"/>
          <w:sz w:val="20"/>
          <w:szCs w:val="20"/>
        </w:rPr>
      </w:pPr>
      <w:r>
        <w:rPr>
          <w:rFonts w:ascii="Arial" w:hAnsi="Arial" w:cs="Arial"/>
          <w:sz w:val="20"/>
          <w:szCs w:val="20"/>
        </w:rPr>
        <w:t>Bireyin yaşadığı bölge gerek açık iş pozisyonları, işsizlik oranları, sektörel olanaklar gibi ekonomik faktörleri gerek toplumsal cinsiyet rolleri ve buna bağlı diğer sosyokültürel faktörleri belirliyor ya da yansıtıyor olabilir. Bu karmaşık etkenleri ayrıştırmak mümkün olmamakla beraber, önemli bir belirleyici olabileceği göz önünde bulundurularak bölge analizlere dâhil edilmiştir. NUTS</w:t>
      </w:r>
      <w:r w:rsidRPr="004D4F30">
        <w:rPr>
          <w:rFonts w:ascii="Arial" w:hAnsi="Arial" w:cs="Arial"/>
          <w:sz w:val="20"/>
          <w:szCs w:val="20"/>
        </w:rPr>
        <w:t>2</w:t>
      </w:r>
      <w:r>
        <w:rPr>
          <w:rFonts w:ascii="Arial" w:hAnsi="Arial" w:cs="Arial"/>
          <w:sz w:val="20"/>
          <w:szCs w:val="20"/>
        </w:rPr>
        <w:t xml:space="preserve"> düzeyinde kullanılan bölgeler aşağıda verilmektedir. İstanbul referans bölge olarak alınmıştır.</w:t>
      </w:r>
      <w:r>
        <w:rPr>
          <w:rStyle w:val="DipnotBavurusu"/>
          <w:rFonts w:ascii="Arial" w:hAnsi="Arial" w:cs="Arial"/>
          <w:sz w:val="20"/>
          <w:szCs w:val="20"/>
        </w:rPr>
        <w:footnoteReference w:id="6"/>
      </w:r>
      <w:r>
        <w:rPr>
          <w:rFonts w:ascii="Arial" w:hAnsi="Arial" w:cs="Arial"/>
          <w:sz w:val="20"/>
          <w:szCs w:val="20"/>
        </w:rPr>
        <w:t xml:space="preserve"> </w:t>
      </w:r>
    </w:p>
    <w:p w:rsidR="0094383C" w:rsidRDefault="0094383C" w:rsidP="00B63D76">
      <w:pPr>
        <w:rPr>
          <w:rFonts w:ascii="Arial" w:hAnsi="Arial" w:cs="Arial"/>
          <w:sz w:val="20"/>
          <w:szCs w:val="20"/>
        </w:rPr>
      </w:pPr>
    </w:p>
    <w:p w:rsidR="0094383C" w:rsidRDefault="0094383C" w:rsidP="00B63D76">
      <w:pPr>
        <w:rPr>
          <w:rFonts w:ascii="Arial" w:hAnsi="Arial" w:cs="Arial"/>
          <w:sz w:val="20"/>
          <w:szCs w:val="20"/>
        </w:rPr>
      </w:pPr>
      <w:r w:rsidRPr="006B13D6">
        <w:rPr>
          <w:rFonts w:ascii="Arial" w:hAnsi="Arial" w:cs="Arial"/>
          <w:sz w:val="20"/>
          <w:szCs w:val="20"/>
        </w:rPr>
        <w:t>Diğer etkenler aynı kalmak şartıyla İstanbul’a</w:t>
      </w:r>
      <w:r>
        <w:rPr>
          <w:rFonts w:ascii="Arial" w:hAnsi="Arial" w:cs="Arial"/>
          <w:sz w:val="20"/>
          <w:szCs w:val="20"/>
        </w:rPr>
        <w:t xml:space="preserve"> kıyasla daha yüksek kadın katılımı olan bölgeler şöyle sıralanabilir: Tekirdağ, Balıkesir, İzmir, Aydın, Bursa, Kocaeli, Konya, Antalya, Adana, Hatay, Zonguldak, Kastamonu, Samsun, Trabzon. İstanbul’a kıyasla daha düşük kadın katılımı olan bölgeler ise şunlardır: Manisa, Ankara, Kırıkkale, Kayseri, Erzurum, Ağrı, Malatya, Van, Gaziantep, Şanlıurfa, Mardin. </w:t>
      </w:r>
      <w:r w:rsidRPr="00D67EC9">
        <w:rPr>
          <w:rFonts w:ascii="Arial" w:hAnsi="Arial" w:cs="Arial"/>
          <w:sz w:val="20"/>
          <w:szCs w:val="20"/>
        </w:rPr>
        <w:t>Kadın katılımının göreli olarak yüksek olduğu bölgelerin çoğunlukla Batı’da, düşük olduğu bölgelerin ise çoğunlukla Doğu’da yer alması dikkat çekmektedir.</w:t>
      </w:r>
      <w:r w:rsidRPr="00AA656B">
        <w:rPr>
          <w:rFonts w:ascii="Arial" w:hAnsi="Arial" w:cs="Arial"/>
          <w:sz w:val="20"/>
          <w:szCs w:val="20"/>
          <w:highlight w:val="green"/>
        </w:rPr>
        <w:t xml:space="preserve"> </w:t>
      </w:r>
    </w:p>
    <w:p w:rsidR="0094383C" w:rsidRDefault="0094383C" w:rsidP="00B63D76">
      <w:pPr>
        <w:rPr>
          <w:rFonts w:ascii="Arial" w:hAnsi="Arial" w:cs="Arial"/>
          <w:sz w:val="20"/>
          <w:szCs w:val="20"/>
        </w:rPr>
      </w:pPr>
    </w:p>
    <w:p w:rsidR="0094383C" w:rsidRDefault="0094383C" w:rsidP="00B63D76">
      <w:pPr>
        <w:rPr>
          <w:rFonts w:ascii="Arial" w:hAnsi="Arial" w:cs="Arial"/>
          <w:sz w:val="20"/>
          <w:szCs w:val="20"/>
        </w:rPr>
      </w:pPr>
      <w:r>
        <w:rPr>
          <w:rFonts w:ascii="Arial" w:hAnsi="Arial" w:cs="Arial"/>
          <w:sz w:val="20"/>
          <w:szCs w:val="20"/>
        </w:rPr>
        <w:t xml:space="preserve">Bölgesel farklılıklar Türkiye’de hissedilir derecede derindir. Gerek eğitim, ilk evlilik yaşı, doğurganlık gibi veriyle ölçülebilir gerek kadına bakış, etnik köken, dini eğilimler gibi elimizdeki veriyle ölçülmesi mümkün olmayan çeşitli eksenlerde bölgelerin farklılaştığı bilinmektedir. Ekonometrik analiz, kullanılan tüm değişkenler açısından bölgesel farklılıkları kontrol etmektedir. Bütün bu faktörler göz önünde bulundurulduğunda bile kadın işgücüne katılım oranları arasında bölgesel farklılıkların </w:t>
      </w:r>
      <w:r w:rsidRPr="00D67EC9">
        <w:rPr>
          <w:rFonts w:ascii="Arial" w:hAnsi="Arial" w:cs="Arial"/>
          <w:sz w:val="20"/>
          <w:szCs w:val="20"/>
        </w:rPr>
        <w:t>istatistiksel olarak anlamlı olması bölgeler arasında açıklayamadığımız farklılıklar olduğuna işaret</w:t>
      </w:r>
      <w:r>
        <w:rPr>
          <w:rFonts w:ascii="Arial" w:hAnsi="Arial" w:cs="Arial"/>
          <w:sz w:val="20"/>
          <w:szCs w:val="20"/>
        </w:rPr>
        <w:t xml:space="preserve"> etmektedir. Tekrar etmek gerekirse bölgeler arasında yaş, eğitim, hane kompozisyonu, gelir gibi farklılıkların etkileri kontrol edildiğinde bile “artık” farklılıklar kalmaktadır. Bu “artık”ların kısmen bölgesel işgücü piyasası farklılıkları kısmen de sosyokültürel farklılıklar olduğu aşikârdır. Kadın işgücüne katılımı üzerine yapılan çalışmaların çoğu bölgeler arasındaki bu “artık” farklılıklara değinmemektedir. Bu konunun daha çok araştırılması gerekmektedir. </w:t>
      </w:r>
    </w:p>
    <w:p w:rsidR="0094383C" w:rsidRDefault="0094383C" w:rsidP="00B63D76">
      <w:pPr>
        <w:rPr>
          <w:rFonts w:ascii="Arial" w:hAnsi="Arial" w:cs="Arial"/>
          <w:sz w:val="20"/>
          <w:szCs w:val="20"/>
        </w:rPr>
      </w:pPr>
    </w:p>
    <w:p w:rsidR="00DE2963" w:rsidRDefault="00DE2963" w:rsidP="00DE2963">
      <w:pPr>
        <w:rPr>
          <w:rFonts w:ascii="Arial" w:hAnsi="Arial" w:cs="Arial"/>
          <w:b/>
          <w:sz w:val="22"/>
          <w:szCs w:val="22"/>
        </w:rPr>
      </w:pPr>
    </w:p>
    <w:p w:rsidR="00DE2963" w:rsidRDefault="00DE2963" w:rsidP="00DE2963">
      <w:pPr>
        <w:rPr>
          <w:rFonts w:ascii="Arial" w:hAnsi="Arial" w:cs="Arial"/>
          <w:b/>
          <w:sz w:val="22"/>
          <w:szCs w:val="22"/>
        </w:rPr>
      </w:pPr>
    </w:p>
    <w:p w:rsidR="00DE2963" w:rsidRPr="00E049BB" w:rsidRDefault="00DE2963" w:rsidP="00DE2963">
      <w:pPr>
        <w:rPr>
          <w:rFonts w:ascii="Arial" w:hAnsi="Arial" w:cs="Arial"/>
          <w:b/>
          <w:sz w:val="22"/>
          <w:szCs w:val="22"/>
        </w:rPr>
      </w:pPr>
      <w:r w:rsidRPr="00E049BB">
        <w:rPr>
          <w:rFonts w:ascii="Arial" w:hAnsi="Arial" w:cs="Arial"/>
          <w:b/>
          <w:sz w:val="22"/>
          <w:szCs w:val="22"/>
        </w:rPr>
        <w:lastRenderedPageBreak/>
        <w:t xml:space="preserve">2004 ile 2011 arasında yapısal etkenlerden bağımsız bir artış var </w:t>
      </w:r>
    </w:p>
    <w:p w:rsidR="00DE2963" w:rsidRDefault="00DE2963" w:rsidP="00DE2963">
      <w:pPr>
        <w:rPr>
          <w:rFonts w:ascii="Arial" w:hAnsi="Arial" w:cs="Arial"/>
          <w:sz w:val="20"/>
          <w:szCs w:val="20"/>
        </w:rPr>
      </w:pPr>
    </w:p>
    <w:p w:rsidR="0094383C" w:rsidRPr="00E653A7" w:rsidRDefault="00DE2963" w:rsidP="00B63D76">
      <w:pPr>
        <w:rPr>
          <w:rFonts w:ascii="Arial" w:hAnsi="Arial" w:cs="Arial"/>
          <w:sz w:val="20"/>
          <w:szCs w:val="20"/>
        </w:rPr>
      </w:pPr>
      <w:r>
        <w:rPr>
          <w:rFonts w:ascii="Arial" w:hAnsi="Arial" w:cs="Arial"/>
          <w:sz w:val="20"/>
          <w:szCs w:val="20"/>
        </w:rPr>
        <w:t xml:space="preserve">Ekonometrik analiz, 2004 – 2011 yılları arasında kentlerde kadın katılımındaki artışın yaşam döngüsü, eğitim ve hane içi bakım sorumluluğu gibi yapısal etkenlerin ötesinde </w:t>
      </w:r>
      <w:r w:rsidRPr="00951B3C">
        <w:rPr>
          <w:rFonts w:ascii="Arial" w:hAnsi="Arial" w:cs="Arial"/>
          <w:sz w:val="20"/>
          <w:szCs w:val="20"/>
        </w:rPr>
        <w:t>ötesinde henüz açıklanmamış ek bir</w:t>
      </w:r>
      <w:r>
        <w:rPr>
          <w:rFonts w:ascii="Arial" w:hAnsi="Arial" w:cs="Arial"/>
          <w:sz w:val="20"/>
          <w:szCs w:val="20"/>
        </w:rPr>
        <w:t xml:space="preserve"> artış olduğunu göstermektedir. Kısaca, bu dönem içerisinde kadınların artan eğitim seviyeleri ve dolayısıyla ötelenen ilk evlilik ve ilk doğum yaşları gibi etkenler, kentlerde kadın işgücüne katılımında gözlemlenen artışı açıklamakta yetersiz kalmaktadır. </w:t>
      </w:r>
      <w:r w:rsidR="0094383C">
        <w:rPr>
          <w:rFonts w:ascii="Arial" w:hAnsi="Arial" w:cs="Arial"/>
          <w:sz w:val="20"/>
          <w:szCs w:val="20"/>
        </w:rPr>
        <w:t xml:space="preserve">Alt grupların işgücüne katılım oranlarını irdelemek bu artışın kaynakları hakkında bilgi sağlayabilir.   </w:t>
      </w:r>
    </w:p>
    <w:p w:rsidR="0094383C" w:rsidRDefault="0094383C" w:rsidP="00F81DC0">
      <w:pPr>
        <w:rPr>
          <w:rFonts w:ascii="Arial" w:hAnsi="Arial" w:cs="Arial"/>
          <w:sz w:val="20"/>
          <w:szCs w:val="20"/>
        </w:rPr>
      </w:pPr>
      <w:r>
        <w:rPr>
          <w:rFonts w:ascii="Arial" w:hAnsi="Arial" w:cs="Arial"/>
          <w:sz w:val="20"/>
          <w:szCs w:val="20"/>
        </w:rPr>
        <w:t xml:space="preserve"> </w:t>
      </w:r>
    </w:p>
    <w:p w:rsidR="0094383C" w:rsidRPr="00964167" w:rsidRDefault="0094383C" w:rsidP="00F81DC0">
      <w:pPr>
        <w:rPr>
          <w:rFonts w:ascii="Arial" w:hAnsi="Arial" w:cs="Arial"/>
          <w:b/>
          <w:bCs/>
          <w:sz w:val="22"/>
          <w:szCs w:val="22"/>
        </w:rPr>
      </w:pPr>
      <w:r w:rsidRPr="00872D56">
        <w:rPr>
          <w:rFonts w:ascii="Arial" w:hAnsi="Arial" w:cs="Arial"/>
          <w:b/>
          <w:bCs/>
          <w:sz w:val="22"/>
          <w:szCs w:val="22"/>
        </w:rPr>
        <w:t>İşgücüne katılım düşük eğitimlilerde artıyor</w:t>
      </w:r>
    </w:p>
    <w:p w:rsidR="0094383C" w:rsidRDefault="0094383C" w:rsidP="00F81DC0">
      <w:pPr>
        <w:rPr>
          <w:rFonts w:ascii="Arial" w:hAnsi="Arial" w:cs="Arial"/>
          <w:sz w:val="20"/>
          <w:szCs w:val="20"/>
        </w:rPr>
      </w:pPr>
    </w:p>
    <w:p w:rsidR="0094383C" w:rsidRPr="00121ACA" w:rsidRDefault="002C6A36" w:rsidP="00F81DC0">
      <w:pPr>
        <w:rPr>
          <w:rFonts w:ascii="Arial" w:hAnsi="Arial" w:cs="Arial"/>
          <w:sz w:val="20"/>
          <w:szCs w:val="20"/>
        </w:rPr>
      </w:pPr>
      <w:fldSimple w:instr=" REF _Ref346626814 \h  \* MERGEFORMAT ">
        <w:r w:rsidR="0094383C" w:rsidRPr="00526FFE">
          <w:rPr>
            <w:rFonts w:ascii="Arial" w:hAnsi="Arial" w:cs="Arial"/>
            <w:sz w:val="20"/>
            <w:szCs w:val="20"/>
          </w:rPr>
          <w:t xml:space="preserve">Tablo </w:t>
        </w:r>
        <w:r w:rsidR="0094383C" w:rsidRPr="00526FFE">
          <w:rPr>
            <w:rFonts w:ascii="Arial" w:hAnsi="Arial" w:cs="Arial"/>
            <w:noProof/>
            <w:sz w:val="20"/>
            <w:szCs w:val="20"/>
          </w:rPr>
          <w:t>2</w:t>
        </w:r>
      </w:fldSimple>
      <w:r w:rsidR="0094383C">
        <w:rPr>
          <w:rFonts w:ascii="Arial" w:hAnsi="Arial" w:cs="Arial"/>
          <w:sz w:val="20"/>
          <w:szCs w:val="20"/>
        </w:rPr>
        <w:t xml:space="preserve">’de işgücüne katılım oranları eğitim ayrımında verilmektedir. 2004 ile 2011 yılları arasında işgücüne </w:t>
      </w:r>
      <w:r w:rsidR="0094383C" w:rsidRPr="002B0350">
        <w:rPr>
          <w:rFonts w:ascii="Arial" w:hAnsi="Arial" w:cs="Arial"/>
          <w:sz w:val="20"/>
          <w:szCs w:val="20"/>
        </w:rPr>
        <w:t>katılım oranı 7,1 yüzde puan artışla kentlerde</w:t>
      </w:r>
      <w:r w:rsidR="0094383C">
        <w:rPr>
          <w:rFonts w:ascii="Arial" w:hAnsi="Arial" w:cs="Arial"/>
          <w:sz w:val="20"/>
          <w:szCs w:val="20"/>
        </w:rPr>
        <w:t xml:space="preserve"> %17,8’den %24,9’a yükselmiştir. Kentlerde işgücüne katılım oranlarının özellikle eğitim seviyesi daha düşük kadınlarda arttığı açıkça görülmektedir. İlköğretim ya da ortaokul mezunu olan (8 yıllık eğitimi tamamlayan) kadınların işgücüne katılım oranları bu dönemde %13,6’dan %19,5’e yükselmiştir. Benzer bir şekilde ilkokul mezunu kadınların işgücüne katılım oranları %11,8’den %17,6’ya çıkmıştır. Artışlar biraz daha zayıf olmakla beraber herhangi bir eğitim kurumundan mezun olmayan ya da lise mezunu olan kadınların katılımında da yaklaşık 4’er yüzde puanlık artışlar görülmektedir. Buna karşın meslek lisesi ve üniversite mezunu kadınların işgücüne katılım oranları aynı dönemde hemen hemen hiç artmamıştır. İlkokul (5 sene) ve ilköğretim ya da ortaokul (8 sene) mezunu kadınlarda gözlemlenen bu artışın altında yatan sebeplerin araştırılması, ileride kadın katılımını artırmaya yönelik politikalara ışık tutacaktır. </w:t>
      </w:r>
    </w:p>
    <w:p w:rsidR="0094383C" w:rsidRDefault="0094383C" w:rsidP="00F81DC0">
      <w:pPr>
        <w:rPr>
          <w:rFonts w:ascii="Arial" w:hAnsi="Arial" w:cs="Arial"/>
          <w:sz w:val="20"/>
          <w:szCs w:val="20"/>
        </w:rPr>
      </w:pPr>
    </w:p>
    <w:p w:rsidR="0094383C" w:rsidRPr="00121ACA" w:rsidRDefault="0094383C" w:rsidP="00121ACA">
      <w:pPr>
        <w:pStyle w:val="ResimYazs"/>
        <w:keepNext/>
        <w:rPr>
          <w:rFonts w:ascii="Arial" w:hAnsi="Arial" w:cs="Arial"/>
        </w:rPr>
      </w:pPr>
      <w:bookmarkStart w:id="2" w:name="_Ref346626814"/>
      <w:r>
        <w:rPr>
          <w:rFonts w:ascii="Arial" w:hAnsi="Arial" w:cs="Arial"/>
        </w:rPr>
        <w:t>Tablo</w:t>
      </w:r>
      <w:r w:rsidR="002C6A36" w:rsidRPr="00121ACA">
        <w:rPr>
          <w:rFonts w:ascii="Arial" w:hAnsi="Arial" w:cs="Arial"/>
        </w:rPr>
        <w:fldChar w:fldCharType="begin"/>
      </w:r>
      <w:r w:rsidRPr="00121ACA">
        <w:rPr>
          <w:rFonts w:ascii="Arial" w:hAnsi="Arial" w:cs="Arial"/>
        </w:rPr>
        <w:instrText xml:space="preserve"> SEQ Table \* ARABIC </w:instrText>
      </w:r>
      <w:r w:rsidR="002C6A36" w:rsidRPr="00121ACA">
        <w:rPr>
          <w:rFonts w:ascii="Arial" w:hAnsi="Arial" w:cs="Arial"/>
        </w:rPr>
        <w:fldChar w:fldCharType="separate"/>
      </w:r>
      <w:r>
        <w:rPr>
          <w:rFonts w:ascii="Arial" w:hAnsi="Arial" w:cs="Arial"/>
          <w:noProof/>
        </w:rPr>
        <w:t>2</w:t>
      </w:r>
      <w:r w:rsidR="002C6A36" w:rsidRPr="00121ACA">
        <w:rPr>
          <w:rFonts w:ascii="Arial" w:hAnsi="Arial" w:cs="Arial"/>
        </w:rPr>
        <w:fldChar w:fldCharType="end"/>
      </w:r>
      <w:bookmarkEnd w:id="2"/>
      <w:r w:rsidRPr="00121ACA">
        <w:rPr>
          <w:rFonts w:ascii="Arial" w:hAnsi="Arial" w:cs="Arial"/>
        </w:rPr>
        <w:t xml:space="preserve"> Eğitim durumuna </w:t>
      </w:r>
      <w:r w:rsidRPr="002B0350">
        <w:rPr>
          <w:rFonts w:ascii="Arial" w:hAnsi="Arial" w:cs="Arial"/>
        </w:rPr>
        <w:t>göre kentte işgücüne katılım oranları (%)</w:t>
      </w:r>
    </w:p>
    <w:tbl>
      <w:tblPr>
        <w:tblW w:w="9000" w:type="dxa"/>
        <w:tblInd w:w="-106"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0A0"/>
      </w:tblPr>
      <w:tblGrid>
        <w:gridCol w:w="1980"/>
        <w:gridCol w:w="877"/>
        <w:gridCol w:w="878"/>
        <w:gridCol w:w="877"/>
        <w:gridCol w:w="878"/>
        <w:gridCol w:w="877"/>
        <w:gridCol w:w="878"/>
        <w:gridCol w:w="877"/>
        <w:gridCol w:w="878"/>
      </w:tblGrid>
      <w:tr w:rsidR="0094383C" w:rsidRPr="000817A7">
        <w:trPr>
          <w:cantSplit/>
          <w:trHeight w:val="1291"/>
        </w:trPr>
        <w:tc>
          <w:tcPr>
            <w:tcW w:w="1980" w:type="dxa"/>
            <w:tcBorders>
              <w:top w:val="single" w:sz="4" w:space="0" w:color="BFBFBF"/>
            </w:tcBorders>
            <w:noWrap/>
            <w:vAlign w:val="bottom"/>
          </w:tcPr>
          <w:p w:rsidR="0094383C" w:rsidRPr="00724AA8" w:rsidRDefault="0094383C" w:rsidP="000817A7">
            <w:pPr>
              <w:rPr>
                <w:rFonts w:ascii="Calibri" w:hAnsi="Calibri" w:cs="Calibri"/>
                <w:color w:val="000000"/>
                <w:lang w:eastAsia="en-US"/>
              </w:rPr>
            </w:pPr>
          </w:p>
        </w:tc>
        <w:tc>
          <w:tcPr>
            <w:tcW w:w="877" w:type="dxa"/>
            <w:tcBorders>
              <w:top w:val="single" w:sz="4" w:space="0" w:color="BFBFBF"/>
            </w:tcBorders>
            <w:noWrap/>
            <w:tcMar>
              <w:left w:w="115" w:type="dxa"/>
              <w:right w:w="58" w:type="dxa"/>
            </w:tcMar>
            <w:textDirection w:val="btLr"/>
            <w:vAlign w:val="bottom"/>
          </w:tcPr>
          <w:p w:rsidR="0094383C" w:rsidRPr="000817A7" w:rsidRDefault="0094383C" w:rsidP="00E01C96">
            <w:pPr>
              <w:ind w:left="113" w:right="113"/>
              <w:rPr>
                <w:rFonts w:ascii="Calibri" w:hAnsi="Calibri" w:cs="Calibri"/>
                <w:b/>
                <w:bCs/>
                <w:color w:val="000000"/>
                <w:lang w:eastAsia="en-US"/>
              </w:rPr>
            </w:pPr>
            <w:r w:rsidRPr="000817A7">
              <w:rPr>
                <w:rFonts w:ascii="Calibri" w:hAnsi="Calibri" w:cs="Calibri"/>
                <w:b/>
                <w:bCs/>
                <w:color w:val="000000"/>
                <w:sz w:val="22"/>
                <w:szCs w:val="22"/>
                <w:lang w:eastAsia="en-US"/>
              </w:rPr>
              <w:t>İşgücüne katılım oranı</w:t>
            </w:r>
          </w:p>
        </w:tc>
        <w:tc>
          <w:tcPr>
            <w:tcW w:w="878" w:type="dxa"/>
            <w:tcBorders>
              <w:top w:val="single" w:sz="4" w:space="0" w:color="BFBFBF"/>
            </w:tcBorders>
            <w:noWrap/>
            <w:tcMar>
              <w:left w:w="115" w:type="dxa"/>
              <w:right w:w="58" w:type="dxa"/>
            </w:tcMar>
            <w:textDirection w:val="btLr"/>
            <w:vAlign w:val="bottom"/>
          </w:tcPr>
          <w:p w:rsidR="0094383C" w:rsidRPr="000817A7" w:rsidRDefault="0094383C" w:rsidP="00E01C96">
            <w:pPr>
              <w:ind w:left="113" w:right="113"/>
              <w:rPr>
                <w:rFonts w:ascii="Calibri" w:hAnsi="Calibri" w:cs="Calibri"/>
                <w:b/>
                <w:bCs/>
                <w:color w:val="000000"/>
                <w:lang w:eastAsia="en-US"/>
              </w:rPr>
            </w:pPr>
            <w:r w:rsidRPr="000817A7">
              <w:rPr>
                <w:rFonts w:ascii="Calibri" w:hAnsi="Calibri" w:cs="Calibri"/>
                <w:b/>
                <w:bCs/>
                <w:color w:val="000000"/>
                <w:sz w:val="22"/>
                <w:szCs w:val="22"/>
                <w:lang w:eastAsia="en-US"/>
              </w:rPr>
              <w:t>Okuryazar olmayanlar</w:t>
            </w:r>
          </w:p>
        </w:tc>
        <w:tc>
          <w:tcPr>
            <w:tcW w:w="877" w:type="dxa"/>
            <w:tcBorders>
              <w:top w:val="single" w:sz="4" w:space="0" w:color="BFBFBF"/>
            </w:tcBorders>
            <w:noWrap/>
            <w:tcMar>
              <w:left w:w="115" w:type="dxa"/>
              <w:right w:w="58" w:type="dxa"/>
            </w:tcMar>
            <w:textDirection w:val="btLr"/>
            <w:vAlign w:val="bottom"/>
          </w:tcPr>
          <w:p w:rsidR="0094383C" w:rsidRPr="000817A7" w:rsidRDefault="0094383C" w:rsidP="00E01C96">
            <w:pPr>
              <w:ind w:left="113" w:right="113"/>
              <w:rPr>
                <w:rFonts w:ascii="Calibri" w:hAnsi="Calibri" w:cs="Calibri"/>
                <w:b/>
                <w:bCs/>
                <w:color w:val="000000"/>
                <w:lang w:eastAsia="en-US"/>
              </w:rPr>
            </w:pPr>
            <w:r w:rsidRPr="000817A7">
              <w:rPr>
                <w:rFonts w:ascii="Calibri" w:hAnsi="Calibri" w:cs="Calibri"/>
                <w:b/>
                <w:bCs/>
                <w:color w:val="000000"/>
                <w:sz w:val="22"/>
                <w:szCs w:val="22"/>
                <w:lang w:eastAsia="en-US"/>
              </w:rPr>
              <w:t>Mezun olmayanlar</w:t>
            </w:r>
          </w:p>
        </w:tc>
        <w:tc>
          <w:tcPr>
            <w:tcW w:w="878" w:type="dxa"/>
            <w:tcBorders>
              <w:top w:val="single" w:sz="4" w:space="0" w:color="BFBFBF"/>
            </w:tcBorders>
            <w:noWrap/>
            <w:tcMar>
              <w:left w:w="115" w:type="dxa"/>
              <w:right w:w="58" w:type="dxa"/>
            </w:tcMar>
            <w:textDirection w:val="btLr"/>
            <w:vAlign w:val="bottom"/>
          </w:tcPr>
          <w:p w:rsidR="0094383C" w:rsidRPr="000817A7" w:rsidRDefault="0094383C" w:rsidP="00E01C96">
            <w:pPr>
              <w:ind w:left="113" w:right="113"/>
              <w:rPr>
                <w:rFonts w:ascii="Calibri" w:hAnsi="Calibri" w:cs="Calibri"/>
                <w:b/>
                <w:bCs/>
                <w:color w:val="000000"/>
                <w:lang w:eastAsia="en-US"/>
              </w:rPr>
            </w:pPr>
            <w:r w:rsidRPr="000817A7">
              <w:rPr>
                <w:rFonts w:ascii="Calibri" w:hAnsi="Calibri" w:cs="Calibri"/>
                <w:b/>
                <w:bCs/>
                <w:color w:val="000000"/>
                <w:sz w:val="22"/>
                <w:szCs w:val="22"/>
                <w:lang w:eastAsia="en-US"/>
              </w:rPr>
              <w:t>İlkokul</w:t>
            </w:r>
          </w:p>
        </w:tc>
        <w:tc>
          <w:tcPr>
            <w:tcW w:w="877" w:type="dxa"/>
            <w:tcBorders>
              <w:top w:val="single" w:sz="4" w:space="0" w:color="BFBFBF"/>
            </w:tcBorders>
            <w:noWrap/>
            <w:tcMar>
              <w:left w:w="115" w:type="dxa"/>
              <w:right w:w="58" w:type="dxa"/>
            </w:tcMar>
            <w:textDirection w:val="btLr"/>
            <w:vAlign w:val="bottom"/>
          </w:tcPr>
          <w:p w:rsidR="0094383C" w:rsidRPr="000817A7" w:rsidRDefault="0094383C" w:rsidP="00E01C96">
            <w:pPr>
              <w:ind w:left="113" w:right="113"/>
              <w:rPr>
                <w:rFonts w:ascii="Calibri" w:hAnsi="Calibri" w:cs="Calibri"/>
                <w:b/>
                <w:bCs/>
                <w:color w:val="000000"/>
                <w:lang w:eastAsia="en-US"/>
              </w:rPr>
            </w:pPr>
            <w:r w:rsidRPr="000817A7">
              <w:rPr>
                <w:rFonts w:ascii="Calibri" w:hAnsi="Calibri" w:cs="Calibri"/>
                <w:b/>
                <w:bCs/>
                <w:color w:val="000000"/>
                <w:sz w:val="22"/>
                <w:szCs w:val="22"/>
                <w:lang w:eastAsia="en-US"/>
              </w:rPr>
              <w:t>İlköğretim ya da ortaokul</w:t>
            </w:r>
          </w:p>
        </w:tc>
        <w:tc>
          <w:tcPr>
            <w:tcW w:w="878" w:type="dxa"/>
            <w:tcBorders>
              <w:top w:val="single" w:sz="4" w:space="0" w:color="BFBFBF"/>
            </w:tcBorders>
            <w:noWrap/>
            <w:tcMar>
              <w:left w:w="115" w:type="dxa"/>
              <w:right w:w="58" w:type="dxa"/>
            </w:tcMar>
            <w:textDirection w:val="btLr"/>
            <w:vAlign w:val="bottom"/>
          </w:tcPr>
          <w:p w:rsidR="0094383C" w:rsidRPr="000817A7" w:rsidRDefault="0094383C" w:rsidP="00E01C96">
            <w:pPr>
              <w:ind w:left="113" w:right="113"/>
              <w:rPr>
                <w:rFonts w:ascii="Calibri" w:hAnsi="Calibri" w:cs="Calibri"/>
                <w:b/>
                <w:bCs/>
                <w:color w:val="000000"/>
                <w:lang w:eastAsia="en-US"/>
              </w:rPr>
            </w:pPr>
            <w:r w:rsidRPr="000817A7">
              <w:rPr>
                <w:rFonts w:ascii="Calibri" w:hAnsi="Calibri" w:cs="Calibri"/>
                <w:b/>
                <w:bCs/>
                <w:color w:val="000000"/>
                <w:sz w:val="22"/>
                <w:szCs w:val="22"/>
                <w:lang w:eastAsia="en-US"/>
              </w:rPr>
              <w:t>Lise</w:t>
            </w:r>
          </w:p>
        </w:tc>
        <w:tc>
          <w:tcPr>
            <w:tcW w:w="877" w:type="dxa"/>
            <w:tcBorders>
              <w:top w:val="single" w:sz="4" w:space="0" w:color="BFBFBF"/>
            </w:tcBorders>
            <w:noWrap/>
            <w:tcMar>
              <w:left w:w="115" w:type="dxa"/>
              <w:right w:w="58" w:type="dxa"/>
            </w:tcMar>
            <w:textDirection w:val="btLr"/>
            <w:vAlign w:val="bottom"/>
          </w:tcPr>
          <w:p w:rsidR="0094383C" w:rsidRPr="000817A7" w:rsidRDefault="0094383C" w:rsidP="00E01C96">
            <w:pPr>
              <w:ind w:left="113" w:right="113"/>
              <w:rPr>
                <w:rFonts w:ascii="Calibri" w:hAnsi="Calibri" w:cs="Calibri"/>
                <w:b/>
                <w:bCs/>
                <w:color w:val="000000"/>
                <w:lang w:eastAsia="en-US"/>
              </w:rPr>
            </w:pPr>
            <w:r w:rsidRPr="000817A7">
              <w:rPr>
                <w:rFonts w:ascii="Calibri" w:hAnsi="Calibri" w:cs="Calibri"/>
                <w:b/>
                <w:bCs/>
                <w:color w:val="000000"/>
                <w:sz w:val="22"/>
                <w:szCs w:val="22"/>
                <w:lang w:eastAsia="en-US"/>
              </w:rPr>
              <w:t>Meslek lisesi</w:t>
            </w:r>
          </w:p>
        </w:tc>
        <w:tc>
          <w:tcPr>
            <w:tcW w:w="878" w:type="dxa"/>
            <w:tcBorders>
              <w:top w:val="single" w:sz="4" w:space="0" w:color="BFBFBF"/>
            </w:tcBorders>
            <w:noWrap/>
            <w:tcMar>
              <w:left w:w="115" w:type="dxa"/>
              <w:right w:w="58" w:type="dxa"/>
            </w:tcMar>
            <w:textDirection w:val="btLr"/>
            <w:vAlign w:val="bottom"/>
          </w:tcPr>
          <w:p w:rsidR="0094383C" w:rsidRPr="000817A7" w:rsidRDefault="0094383C" w:rsidP="00E01C96">
            <w:pPr>
              <w:ind w:left="113" w:right="113"/>
              <w:rPr>
                <w:rFonts w:ascii="Calibri" w:hAnsi="Calibri" w:cs="Calibri"/>
                <w:b/>
                <w:bCs/>
                <w:color w:val="000000"/>
                <w:lang w:eastAsia="en-US"/>
              </w:rPr>
            </w:pPr>
            <w:r w:rsidRPr="000817A7">
              <w:rPr>
                <w:rFonts w:ascii="Calibri" w:hAnsi="Calibri" w:cs="Calibri"/>
                <w:b/>
                <w:bCs/>
                <w:color w:val="000000"/>
                <w:sz w:val="22"/>
                <w:szCs w:val="22"/>
                <w:lang w:eastAsia="en-US"/>
              </w:rPr>
              <w:t>Üniversite</w:t>
            </w:r>
          </w:p>
        </w:tc>
      </w:tr>
      <w:tr w:rsidR="0094383C" w:rsidRPr="000817A7">
        <w:trPr>
          <w:trHeight w:val="300"/>
        </w:trPr>
        <w:tc>
          <w:tcPr>
            <w:tcW w:w="1980" w:type="dxa"/>
            <w:noWrap/>
            <w:vAlign w:val="bottom"/>
          </w:tcPr>
          <w:p w:rsidR="0094383C" w:rsidRPr="000817A7" w:rsidRDefault="0094383C" w:rsidP="0093419D">
            <w:pPr>
              <w:rPr>
                <w:rFonts w:ascii="Calibri" w:hAnsi="Calibri" w:cs="Calibri"/>
                <w:color w:val="000000"/>
                <w:lang w:val="en-US" w:eastAsia="en-US"/>
              </w:rPr>
            </w:pPr>
            <w:r w:rsidRPr="000817A7">
              <w:rPr>
                <w:rFonts w:ascii="Calibri" w:hAnsi="Calibri" w:cs="Calibri"/>
                <w:color w:val="000000"/>
                <w:sz w:val="22"/>
                <w:szCs w:val="22"/>
                <w:lang w:val="en-US" w:eastAsia="en-US"/>
              </w:rPr>
              <w:t>2004</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17.8</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5.4</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8.4</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11.8</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13.6</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25.7</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38.4</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70.2</w:t>
            </w:r>
          </w:p>
        </w:tc>
      </w:tr>
      <w:tr w:rsidR="0094383C" w:rsidRPr="000817A7">
        <w:trPr>
          <w:trHeight w:val="300"/>
        </w:trPr>
        <w:tc>
          <w:tcPr>
            <w:tcW w:w="1980" w:type="dxa"/>
            <w:noWrap/>
            <w:vAlign w:val="bottom"/>
          </w:tcPr>
          <w:p w:rsidR="0094383C" w:rsidRPr="000817A7" w:rsidRDefault="0094383C" w:rsidP="0093419D">
            <w:pPr>
              <w:rPr>
                <w:rFonts w:ascii="Calibri" w:hAnsi="Calibri" w:cs="Calibri"/>
                <w:color w:val="000000"/>
                <w:lang w:val="en-US" w:eastAsia="en-US"/>
              </w:rPr>
            </w:pPr>
            <w:r w:rsidRPr="000817A7">
              <w:rPr>
                <w:rFonts w:ascii="Calibri" w:hAnsi="Calibri" w:cs="Calibri"/>
                <w:color w:val="000000"/>
                <w:sz w:val="22"/>
                <w:szCs w:val="22"/>
                <w:lang w:val="en-US" w:eastAsia="en-US"/>
              </w:rPr>
              <w:t>2005</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18.7</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6.1</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9.4</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12.6</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14.9</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26.3</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36.0</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69.0</w:t>
            </w:r>
          </w:p>
        </w:tc>
      </w:tr>
      <w:tr w:rsidR="0094383C" w:rsidRPr="000817A7">
        <w:trPr>
          <w:trHeight w:val="300"/>
        </w:trPr>
        <w:tc>
          <w:tcPr>
            <w:tcW w:w="1980" w:type="dxa"/>
            <w:noWrap/>
            <w:vAlign w:val="bottom"/>
          </w:tcPr>
          <w:p w:rsidR="0094383C" w:rsidRPr="000817A7" w:rsidRDefault="0094383C" w:rsidP="0093419D">
            <w:pPr>
              <w:rPr>
                <w:rFonts w:ascii="Calibri" w:hAnsi="Calibri" w:cs="Calibri"/>
                <w:color w:val="000000"/>
                <w:lang w:val="en-US" w:eastAsia="en-US"/>
              </w:rPr>
            </w:pPr>
            <w:r w:rsidRPr="000817A7">
              <w:rPr>
                <w:rFonts w:ascii="Calibri" w:hAnsi="Calibri" w:cs="Calibri"/>
                <w:color w:val="000000"/>
                <w:sz w:val="22"/>
                <w:szCs w:val="22"/>
                <w:lang w:val="en-US" w:eastAsia="en-US"/>
              </w:rPr>
              <w:t>2006</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19.5</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5.4</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10.0</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13.0</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15.4</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27.5</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35.3</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68.8</w:t>
            </w:r>
          </w:p>
        </w:tc>
      </w:tr>
      <w:tr w:rsidR="0094383C" w:rsidRPr="000817A7">
        <w:trPr>
          <w:trHeight w:val="300"/>
        </w:trPr>
        <w:tc>
          <w:tcPr>
            <w:tcW w:w="1980" w:type="dxa"/>
            <w:noWrap/>
            <w:vAlign w:val="bottom"/>
          </w:tcPr>
          <w:p w:rsidR="0094383C" w:rsidRPr="000817A7" w:rsidRDefault="0094383C" w:rsidP="0093419D">
            <w:pPr>
              <w:rPr>
                <w:rFonts w:ascii="Calibri" w:hAnsi="Calibri" w:cs="Calibri"/>
                <w:color w:val="000000"/>
                <w:lang w:val="en-US" w:eastAsia="en-US"/>
              </w:rPr>
            </w:pPr>
            <w:r w:rsidRPr="000817A7">
              <w:rPr>
                <w:rFonts w:ascii="Calibri" w:hAnsi="Calibri" w:cs="Calibri"/>
                <w:color w:val="000000"/>
                <w:sz w:val="22"/>
                <w:szCs w:val="22"/>
                <w:lang w:val="en-US" w:eastAsia="en-US"/>
              </w:rPr>
              <w:t>2007</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19.8</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5.1</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10.4</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12.2</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15.9</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28.0</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35.2</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69.2</w:t>
            </w:r>
          </w:p>
        </w:tc>
      </w:tr>
      <w:tr w:rsidR="0094383C" w:rsidRPr="000817A7">
        <w:trPr>
          <w:trHeight w:val="300"/>
        </w:trPr>
        <w:tc>
          <w:tcPr>
            <w:tcW w:w="1980" w:type="dxa"/>
            <w:noWrap/>
            <w:vAlign w:val="bottom"/>
          </w:tcPr>
          <w:p w:rsidR="0094383C" w:rsidRPr="000817A7" w:rsidRDefault="0094383C" w:rsidP="0093419D">
            <w:pPr>
              <w:rPr>
                <w:rFonts w:ascii="Calibri" w:hAnsi="Calibri" w:cs="Calibri"/>
                <w:color w:val="000000"/>
                <w:lang w:val="en-US" w:eastAsia="en-US"/>
              </w:rPr>
            </w:pPr>
            <w:r w:rsidRPr="000817A7">
              <w:rPr>
                <w:rFonts w:ascii="Calibri" w:hAnsi="Calibri" w:cs="Calibri"/>
                <w:color w:val="000000"/>
                <w:sz w:val="22"/>
                <w:szCs w:val="22"/>
                <w:lang w:val="en-US" w:eastAsia="en-US"/>
              </w:rPr>
              <w:t>2008</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20.8</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5.4</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10.3</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13.1</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15.1</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28.9</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37.3</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69.8</w:t>
            </w:r>
          </w:p>
        </w:tc>
      </w:tr>
      <w:tr w:rsidR="0094383C" w:rsidRPr="000817A7">
        <w:trPr>
          <w:trHeight w:val="300"/>
        </w:trPr>
        <w:tc>
          <w:tcPr>
            <w:tcW w:w="1980" w:type="dxa"/>
            <w:noWrap/>
            <w:vAlign w:val="bottom"/>
          </w:tcPr>
          <w:p w:rsidR="0094383C" w:rsidRPr="000817A7" w:rsidRDefault="0094383C" w:rsidP="0093419D">
            <w:pPr>
              <w:rPr>
                <w:rFonts w:ascii="Calibri" w:hAnsi="Calibri" w:cs="Calibri"/>
                <w:color w:val="000000"/>
                <w:lang w:val="en-US" w:eastAsia="en-US"/>
              </w:rPr>
            </w:pPr>
            <w:r w:rsidRPr="000817A7">
              <w:rPr>
                <w:rFonts w:ascii="Calibri" w:hAnsi="Calibri" w:cs="Calibri"/>
                <w:color w:val="000000"/>
                <w:sz w:val="22"/>
                <w:szCs w:val="22"/>
                <w:lang w:val="en-US" w:eastAsia="en-US"/>
              </w:rPr>
              <w:t>2009</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22.3</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5.7</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11.2</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14.7</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16.0</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29.6</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38.3</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70.4</w:t>
            </w:r>
          </w:p>
        </w:tc>
      </w:tr>
      <w:tr w:rsidR="0094383C" w:rsidRPr="000817A7">
        <w:trPr>
          <w:trHeight w:val="300"/>
        </w:trPr>
        <w:tc>
          <w:tcPr>
            <w:tcW w:w="1980" w:type="dxa"/>
            <w:noWrap/>
            <w:vAlign w:val="bottom"/>
          </w:tcPr>
          <w:p w:rsidR="0094383C" w:rsidRPr="000817A7" w:rsidRDefault="0094383C" w:rsidP="0093419D">
            <w:pPr>
              <w:rPr>
                <w:rFonts w:ascii="Calibri" w:hAnsi="Calibri" w:cs="Calibri"/>
                <w:color w:val="000000"/>
                <w:lang w:val="en-US" w:eastAsia="en-US"/>
              </w:rPr>
            </w:pPr>
            <w:r w:rsidRPr="000817A7">
              <w:rPr>
                <w:rFonts w:ascii="Calibri" w:hAnsi="Calibri" w:cs="Calibri"/>
                <w:color w:val="000000"/>
                <w:sz w:val="22"/>
                <w:szCs w:val="22"/>
                <w:lang w:val="en-US" w:eastAsia="en-US"/>
              </w:rPr>
              <w:t>2010</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23.7</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6.2</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12.6</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16.7</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18.1</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29.7</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39.2</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70.9</w:t>
            </w:r>
          </w:p>
        </w:tc>
      </w:tr>
      <w:tr w:rsidR="0094383C" w:rsidRPr="000817A7">
        <w:trPr>
          <w:trHeight w:val="300"/>
        </w:trPr>
        <w:tc>
          <w:tcPr>
            <w:tcW w:w="1980" w:type="dxa"/>
            <w:noWrap/>
            <w:vAlign w:val="bottom"/>
          </w:tcPr>
          <w:p w:rsidR="0094383C" w:rsidRPr="000817A7" w:rsidRDefault="0094383C" w:rsidP="0093419D">
            <w:pPr>
              <w:rPr>
                <w:rFonts w:ascii="Calibri" w:hAnsi="Calibri" w:cs="Calibri"/>
                <w:color w:val="000000"/>
                <w:lang w:val="en-US" w:eastAsia="en-US"/>
              </w:rPr>
            </w:pPr>
            <w:r w:rsidRPr="000817A7">
              <w:rPr>
                <w:rFonts w:ascii="Calibri" w:hAnsi="Calibri" w:cs="Calibri"/>
                <w:color w:val="000000"/>
                <w:sz w:val="22"/>
                <w:szCs w:val="22"/>
                <w:lang w:val="en-US" w:eastAsia="en-US"/>
              </w:rPr>
              <w:t>2011</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24.9</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6.5</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12.6</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17.6</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19.5</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29.7</w:t>
            </w:r>
          </w:p>
        </w:tc>
        <w:tc>
          <w:tcPr>
            <w:tcW w:w="877"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38.6</w:t>
            </w:r>
          </w:p>
        </w:tc>
        <w:tc>
          <w:tcPr>
            <w:tcW w:w="878" w:type="dxa"/>
            <w:noWrap/>
            <w:vAlign w:val="bottom"/>
          </w:tcPr>
          <w:p w:rsidR="0094383C" w:rsidRPr="000817A7" w:rsidRDefault="0094383C" w:rsidP="000817A7">
            <w:pPr>
              <w:jc w:val="right"/>
              <w:rPr>
                <w:rFonts w:ascii="Calibri" w:hAnsi="Calibri" w:cs="Calibri"/>
                <w:color w:val="000000"/>
                <w:lang w:val="en-US" w:eastAsia="en-US"/>
              </w:rPr>
            </w:pPr>
            <w:r w:rsidRPr="000817A7">
              <w:rPr>
                <w:rFonts w:ascii="Calibri" w:hAnsi="Calibri" w:cs="Calibri"/>
                <w:color w:val="000000"/>
                <w:sz w:val="22"/>
                <w:szCs w:val="22"/>
                <w:lang w:val="en-US" w:eastAsia="en-US"/>
              </w:rPr>
              <w:t>71.0</w:t>
            </w:r>
          </w:p>
        </w:tc>
      </w:tr>
      <w:tr w:rsidR="0094383C" w:rsidRPr="000817A7">
        <w:trPr>
          <w:trHeight w:val="300"/>
        </w:trPr>
        <w:tc>
          <w:tcPr>
            <w:tcW w:w="1980" w:type="dxa"/>
            <w:tcBorders>
              <w:bottom w:val="single" w:sz="4" w:space="0" w:color="BFBFBF"/>
            </w:tcBorders>
            <w:noWrap/>
            <w:vAlign w:val="bottom"/>
          </w:tcPr>
          <w:p w:rsidR="0094383C" w:rsidRPr="00520645" w:rsidRDefault="0094383C" w:rsidP="000817A7">
            <w:pPr>
              <w:rPr>
                <w:rFonts w:ascii="Calibri" w:hAnsi="Calibri" w:cs="Calibri"/>
                <w:b/>
                <w:bCs/>
                <w:color w:val="000000"/>
                <w:lang w:val="en-US" w:eastAsia="en-US"/>
              </w:rPr>
            </w:pPr>
            <w:r>
              <w:rPr>
                <w:rFonts w:ascii="Calibri" w:hAnsi="Calibri" w:cs="Calibri"/>
                <w:b/>
                <w:bCs/>
                <w:color w:val="000000"/>
                <w:sz w:val="22"/>
                <w:szCs w:val="22"/>
                <w:lang w:val="en-US" w:eastAsia="en-US"/>
              </w:rPr>
              <w:t>2004 - 2011 farkı</w:t>
            </w:r>
          </w:p>
          <w:p w:rsidR="0094383C" w:rsidRPr="00520645" w:rsidRDefault="0094383C" w:rsidP="000817A7">
            <w:pPr>
              <w:rPr>
                <w:rFonts w:ascii="Calibri" w:hAnsi="Calibri" w:cs="Calibri"/>
                <w:color w:val="000000"/>
                <w:lang w:val="en-US" w:eastAsia="en-US"/>
              </w:rPr>
            </w:pPr>
            <w:r w:rsidRPr="00520645">
              <w:rPr>
                <w:rFonts w:ascii="Calibri" w:hAnsi="Calibri" w:cs="Calibri"/>
                <w:b/>
                <w:bCs/>
                <w:color w:val="000000"/>
                <w:sz w:val="22"/>
                <w:szCs w:val="22"/>
                <w:lang w:val="en-US" w:eastAsia="en-US"/>
              </w:rPr>
              <w:t xml:space="preserve"> (yüzde puan)</w:t>
            </w:r>
          </w:p>
        </w:tc>
        <w:tc>
          <w:tcPr>
            <w:tcW w:w="877" w:type="dxa"/>
            <w:tcBorders>
              <w:bottom w:val="single" w:sz="4" w:space="0" w:color="BFBFBF"/>
            </w:tcBorders>
            <w:noWrap/>
            <w:vAlign w:val="bottom"/>
          </w:tcPr>
          <w:p w:rsidR="0094383C" w:rsidRPr="00520645" w:rsidRDefault="0094383C" w:rsidP="00121ACA">
            <w:pPr>
              <w:jc w:val="right"/>
              <w:rPr>
                <w:rFonts w:ascii="Calibri" w:hAnsi="Calibri" w:cs="Calibri"/>
                <w:color w:val="000000"/>
                <w:lang w:val="en-US" w:eastAsia="en-US"/>
              </w:rPr>
            </w:pPr>
            <w:r w:rsidRPr="00520645">
              <w:rPr>
                <w:rFonts w:ascii="Calibri" w:hAnsi="Calibri" w:cs="Calibri"/>
                <w:color w:val="000000"/>
                <w:sz w:val="22"/>
                <w:szCs w:val="22"/>
                <w:lang w:val="en-US" w:eastAsia="en-US"/>
              </w:rPr>
              <w:t>7.1</w:t>
            </w:r>
          </w:p>
        </w:tc>
        <w:tc>
          <w:tcPr>
            <w:tcW w:w="878" w:type="dxa"/>
            <w:tcBorders>
              <w:bottom w:val="single" w:sz="4" w:space="0" w:color="BFBFBF"/>
            </w:tcBorders>
            <w:noWrap/>
            <w:vAlign w:val="bottom"/>
          </w:tcPr>
          <w:p w:rsidR="0094383C" w:rsidRPr="00520645" w:rsidRDefault="0094383C" w:rsidP="000817A7">
            <w:pPr>
              <w:jc w:val="right"/>
              <w:rPr>
                <w:rFonts w:ascii="Calibri" w:hAnsi="Calibri" w:cs="Calibri"/>
                <w:color w:val="000000"/>
                <w:lang w:val="en-US" w:eastAsia="en-US"/>
              </w:rPr>
            </w:pPr>
            <w:r w:rsidRPr="00520645">
              <w:rPr>
                <w:rFonts w:ascii="Calibri" w:hAnsi="Calibri" w:cs="Calibri"/>
                <w:color w:val="000000"/>
                <w:sz w:val="22"/>
                <w:szCs w:val="22"/>
                <w:lang w:val="en-US" w:eastAsia="en-US"/>
              </w:rPr>
              <w:t>1.1</w:t>
            </w:r>
          </w:p>
        </w:tc>
        <w:tc>
          <w:tcPr>
            <w:tcW w:w="877" w:type="dxa"/>
            <w:tcBorders>
              <w:bottom w:val="single" w:sz="4" w:space="0" w:color="BFBFBF"/>
            </w:tcBorders>
            <w:noWrap/>
            <w:vAlign w:val="bottom"/>
          </w:tcPr>
          <w:p w:rsidR="0094383C" w:rsidRPr="00520645" w:rsidRDefault="0094383C" w:rsidP="000817A7">
            <w:pPr>
              <w:jc w:val="right"/>
              <w:rPr>
                <w:rFonts w:ascii="Calibri" w:hAnsi="Calibri" w:cs="Calibri"/>
                <w:color w:val="000000"/>
                <w:lang w:val="en-US" w:eastAsia="en-US"/>
              </w:rPr>
            </w:pPr>
            <w:r w:rsidRPr="00520645">
              <w:rPr>
                <w:rFonts w:ascii="Calibri" w:hAnsi="Calibri" w:cs="Calibri"/>
                <w:color w:val="000000"/>
                <w:sz w:val="22"/>
                <w:szCs w:val="22"/>
                <w:lang w:val="en-US" w:eastAsia="en-US"/>
              </w:rPr>
              <w:t>4.2</w:t>
            </w:r>
          </w:p>
        </w:tc>
        <w:tc>
          <w:tcPr>
            <w:tcW w:w="878" w:type="dxa"/>
            <w:tcBorders>
              <w:bottom w:val="single" w:sz="4" w:space="0" w:color="BFBFBF"/>
            </w:tcBorders>
            <w:noWrap/>
            <w:vAlign w:val="bottom"/>
          </w:tcPr>
          <w:p w:rsidR="0094383C" w:rsidRPr="00520645" w:rsidRDefault="0094383C" w:rsidP="000817A7">
            <w:pPr>
              <w:jc w:val="right"/>
              <w:rPr>
                <w:rFonts w:ascii="Calibri" w:hAnsi="Calibri" w:cs="Calibri"/>
                <w:color w:val="000000"/>
                <w:lang w:val="en-US" w:eastAsia="en-US"/>
              </w:rPr>
            </w:pPr>
            <w:r w:rsidRPr="00520645">
              <w:rPr>
                <w:rFonts w:ascii="Calibri" w:hAnsi="Calibri" w:cs="Calibri"/>
                <w:color w:val="000000"/>
                <w:sz w:val="22"/>
                <w:szCs w:val="22"/>
                <w:lang w:val="en-US" w:eastAsia="en-US"/>
              </w:rPr>
              <w:t>5.8</w:t>
            </w:r>
          </w:p>
        </w:tc>
        <w:tc>
          <w:tcPr>
            <w:tcW w:w="877" w:type="dxa"/>
            <w:tcBorders>
              <w:bottom w:val="single" w:sz="4" w:space="0" w:color="BFBFBF"/>
            </w:tcBorders>
            <w:noWrap/>
            <w:vAlign w:val="bottom"/>
          </w:tcPr>
          <w:p w:rsidR="0094383C" w:rsidRPr="00520645" w:rsidRDefault="0094383C" w:rsidP="000817A7">
            <w:pPr>
              <w:jc w:val="right"/>
              <w:rPr>
                <w:rFonts w:ascii="Calibri" w:hAnsi="Calibri" w:cs="Calibri"/>
                <w:color w:val="000000"/>
                <w:lang w:val="en-US" w:eastAsia="en-US"/>
              </w:rPr>
            </w:pPr>
            <w:r w:rsidRPr="00520645">
              <w:rPr>
                <w:rFonts w:ascii="Calibri" w:hAnsi="Calibri" w:cs="Calibri"/>
                <w:color w:val="000000"/>
                <w:sz w:val="22"/>
                <w:szCs w:val="22"/>
                <w:lang w:val="en-US" w:eastAsia="en-US"/>
              </w:rPr>
              <w:t>5.9</w:t>
            </w:r>
          </w:p>
        </w:tc>
        <w:tc>
          <w:tcPr>
            <w:tcW w:w="878" w:type="dxa"/>
            <w:tcBorders>
              <w:bottom w:val="single" w:sz="4" w:space="0" w:color="BFBFBF"/>
            </w:tcBorders>
            <w:noWrap/>
            <w:vAlign w:val="bottom"/>
          </w:tcPr>
          <w:p w:rsidR="0094383C" w:rsidRPr="00520645" w:rsidRDefault="0094383C" w:rsidP="000817A7">
            <w:pPr>
              <w:jc w:val="right"/>
              <w:rPr>
                <w:rFonts w:ascii="Calibri" w:hAnsi="Calibri" w:cs="Calibri"/>
                <w:color w:val="000000"/>
                <w:lang w:val="en-US" w:eastAsia="en-US"/>
              </w:rPr>
            </w:pPr>
            <w:r w:rsidRPr="00520645">
              <w:rPr>
                <w:rFonts w:ascii="Calibri" w:hAnsi="Calibri" w:cs="Calibri"/>
                <w:color w:val="000000"/>
                <w:sz w:val="22"/>
                <w:szCs w:val="22"/>
                <w:lang w:val="en-US" w:eastAsia="en-US"/>
              </w:rPr>
              <w:t>4.0</w:t>
            </w:r>
          </w:p>
        </w:tc>
        <w:tc>
          <w:tcPr>
            <w:tcW w:w="877" w:type="dxa"/>
            <w:tcBorders>
              <w:bottom w:val="single" w:sz="4" w:space="0" w:color="BFBFBF"/>
            </w:tcBorders>
            <w:noWrap/>
            <w:vAlign w:val="bottom"/>
          </w:tcPr>
          <w:p w:rsidR="0094383C" w:rsidRPr="00520645" w:rsidRDefault="0094383C" w:rsidP="000817A7">
            <w:pPr>
              <w:jc w:val="right"/>
              <w:rPr>
                <w:rFonts w:ascii="Calibri" w:hAnsi="Calibri" w:cs="Calibri"/>
                <w:color w:val="000000"/>
                <w:lang w:val="en-US" w:eastAsia="en-US"/>
              </w:rPr>
            </w:pPr>
            <w:r w:rsidRPr="00520645">
              <w:rPr>
                <w:rFonts w:ascii="Calibri" w:hAnsi="Calibri" w:cs="Calibri"/>
                <w:color w:val="000000"/>
                <w:sz w:val="22"/>
                <w:szCs w:val="22"/>
                <w:lang w:val="en-US" w:eastAsia="en-US"/>
              </w:rPr>
              <w:t>0.2</w:t>
            </w:r>
          </w:p>
        </w:tc>
        <w:tc>
          <w:tcPr>
            <w:tcW w:w="878" w:type="dxa"/>
            <w:tcBorders>
              <w:bottom w:val="single" w:sz="4" w:space="0" w:color="BFBFBF"/>
            </w:tcBorders>
            <w:noWrap/>
            <w:vAlign w:val="bottom"/>
          </w:tcPr>
          <w:p w:rsidR="0094383C" w:rsidRPr="00520645" w:rsidRDefault="0094383C" w:rsidP="000817A7">
            <w:pPr>
              <w:jc w:val="right"/>
              <w:rPr>
                <w:rFonts w:ascii="Calibri" w:hAnsi="Calibri" w:cs="Calibri"/>
                <w:color w:val="000000"/>
                <w:lang w:val="en-US" w:eastAsia="en-US"/>
              </w:rPr>
            </w:pPr>
            <w:r w:rsidRPr="00520645">
              <w:rPr>
                <w:rFonts w:ascii="Calibri" w:hAnsi="Calibri" w:cs="Calibri"/>
                <w:color w:val="000000"/>
                <w:sz w:val="22"/>
                <w:szCs w:val="22"/>
                <w:lang w:val="en-US" w:eastAsia="en-US"/>
              </w:rPr>
              <w:t>0.9</w:t>
            </w:r>
          </w:p>
        </w:tc>
      </w:tr>
    </w:tbl>
    <w:p w:rsidR="0094383C" w:rsidRDefault="0094383C" w:rsidP="00F81DC0">
      <w:pPr>
        <w:rPr>
          <w:rFonts w:ascii="Arial" w:hAnsi="Arial" w:cs="Arial"/>
          <w:sz w:val="20"/>
          <w:szCs w:val="20"/>
        </w:rPr>
      </w:pPr>
    </w:p>
    <w:p w:rsidR="0094383C" w:rsidRDefault="0094383C" w:rsidP="00F81DC0">
      <w:pPr>
        <w:rPr>
          <w:rFonts w:ascii="Arial" w:hAnsi="Arial" w:cs="Arial"/>
          <w:sz w:val="20"/>
          <w:szCs w:val="20"/>
        </w:rPr>
      </w:pPr>
      <w:r>
        <w:rPr>
          <w:rFonts w:ascii="Arial" w:hAnsi="Arial" w:cs="Arial"/>
          <w:sz w:val="20"/>
          <w:szCs w:val="20"/>
        </w:rPr>
        <w:t xml:space="preserve">İşgücüne katılım oranlarının artmış olması bu kadınların istihdam edilebildikleri anlamına gelmez. Bu bağlamda kadınların eğitim seviyelerine göre işsizlik oranları </w:t>
      </w:r>
      <w:fldSimple w:instr=" REF _Ref346627401 \h  \* MERGEFORMAT ">
        <w:r w:rsidRPr="00526FFE">
          <w:rPr>
            <w:rFonts w:ascii="Arial" w:hAnsi="Arial" w:cs="Arial"/>
            <w:sz w:val="20"/>
            <w:szCs w:val="20"/>
          </w:rPr>
          <w:t xml:space="preserve">Tablo </w:t>
        </w:r>
        <w:r w:rsidRPr="00526FFE">
          <w:rPr>
            <w:rFonts w:ascii="Arial" w:hAnsi="Arial" w:cs="Arial"/>
            <w:noProof/>
            <w:sz w:val="20"/>
            <w:szCs w:val="20"/>
          </w:rPr>
          <w:t>3</w:t>
        </w:r>
      </w:fldSimple>
      <w:r>
        <w:rPr>
          <w:rFonts w:ascii="Arial" w:hAnsi="Arial" w:cs="Arial"/>
          <w:sz w:val="20"/>
          <w:szCs w:val="20"/>
        </w:rPr>
        <w:t xml:space="preserve">’de verilmektedir. Burada cevap aranan soru şudur: işgücü piyasasına giren kadınlar istihdam edilebiliyor mu? Diğer bir deyişle artan işgücüne katılım oranları artan işsizlik oranlarına dönüşüyor mu? Verilere göre işgücüne katılım oranlarındaki artışa rağmen kentlerde kadınların işsizlik oranlarında </w:t>
      </w:r>
      <w:r w:rsidRPr="00520645">
        <w:rPr>
          <w:rFonts w:ascii="Arial" w:hAnsi="Arial" w:cs="Arial"/>
          <w:sz w:val="20"/>
          <w:szCs w:val="20"/>
        </w:rPr>
        <w:t>düşüş görülmektedir. Sadece</w:t>
      </w:r>
      <w:r>
        <w:rPr>
          <w:rFonts w:ascii="Arial" w:hAnsi="Arial" w:cs="Arial"/>
          <w:sz w:val="20"/>
          <w:szCs w:val="20"/>
        </w:rPr>
        <w:t xml:space="preserve"> herhangi bir eğitim kurumundan mezun olmayan kadınların işsizliği bu </w:t>
      </w:r>
      <w:r w:rsidRPr="00951B3C">
        <w:rPr>
          <w:rFonts w:ascii="Arial" w:hAnsi="Arial" w:cs="Arial"/>
          <w:sz w:val="20"/>
          <w:szCs w:val="20"/>
        </w:rPr>
        <w:t>dönemde artmıştır. İşgücüne</w:t>
      </w:r>
      <w:r>
        <w:rPr>
          <w:rFonts w:ascii="Arial" w:hAnsi="Arial" w:cs="Arial"/>
          <w:sz w:val="20"/>
          <w:szCs w:val="20"/>
        </w:rPr>
        <w:t xml:space="preserve"> katılım oranının yükselmesine rağmen işsizlik oranlarının düşmüş olması oldukça önemlidir. Bu, daha çok kadının işgücü piyasasına girmesiyle işsizlik oranlarının artacağı iddiasının çok da doğru olmadığına işaret etmektedir. </w:t>
      </w:r>
    </w:p>
    <w:p w:rsidR="0094383C" w:rsidRDefault="0094383C" w:rsidP="00F81DC0">
      <w:pPr>
        <w:rPr>
          <w:rFonts w:ascii="Arial" w:hAnsi="Arial" w:cs="Arial"/>
          <w:sz w:val="20"/>
          <w:szCs w:val="20"/>
        </w:rPr>
      </w:pPr>
    </w:p>
    <w:p w:rsidR="0094383C" w:rsidRPr="00121ACA" w:rsidRDefault="0094383C" w:rsidP="00E643E5">
      <w:pPr>
        <w:pStyle w:val="ResimYazs"/>
        <w:keepNext/>
        <w:rPr>
          <w:rFonts w:ascii="Arial" w:hAnsi="Arial" w:cs="Arial"/>
        </w:rPr>
      </w:pPr>
      <w:bookmarkStart w:id="3" w:name="_Ref346627401"/>
      <w:r w:rsidRPr="00CA6FEE">
        <w:rPr>
          <w:rFonts w:ascii="Arial" w:hAnsi="Arial" w:cs="Arial"/>
        </w:rPr>
        <w:lastRenderedPageBreak/>
        <w:t>Tabl</w:t>
      </w:r>
      <w:r>
        <w:rPr>
          <w:rFonts w:ascii="Arial" w:hAnsi="Arial" w:cs="Arial"/>
        </w:rPr>
        <w:t>o</w:t>
      </w:r>
      <w:r w:rsidR="002C6A36" w:rsidRPr="00CA6FEE">
        <w:rPr>
          <w:rFonts w:ascii="Arial" w:hAnsi="Arial" w:cs="Arial"/>
        </w:rPr>
        <w:fldChar w:fldCharType="begin"/>
      </w:r>
      <w:r w:rsidRPr="00CA6FEE">
        <w:rPr>
          <w:rFonts w:ascii="Arial" w:hAnsi="Arial" w:cs="Arial"/>
        </w:rPr>
        <w:instrText xml:space="preserve"> SEQ Table \* ARABIC </w:instrText>
      </w:r>
      <w:r w:rsidR="002C6A36" w:rsidRPr="00CA6FEE">
        <w:rPr>
          <w:rFonts w:ascii="Arial" w:hAnsi="Arial" w:cs="Arial"/>
        </w:rPr>
        <w:fldChar w:fldCharType="separate"/>
      </w:r>
      <w:r>
        <w:rPr>
          <w:rFonts w:ascii="Arial" w:hAnsi="Arial" w:cs="Arial"/>
          <w:noProof/>
        </w:rPr>
        <w:t>3</w:t>
      </w:r>
      <w:r w:rsidR="002C6A36" w:rsidRPr="00CA6FEE">
        <w:rPr>
          <w:rFonts w:ascii="Arial" w:hAnsi="Arial" w:cs="Arial"/>
        </w:rPr>
        <w:fldChar w:fldCharType="end"/>
      </w:r>
      <w:bookmarkEnd w:id="3"/>
      <w:r w:rsidRPr="00CA6FEE">
        <w:rPr>
          <w:rFonts w:ascii="Arial" w:hAnsi="Arial" w:cs="Arial"/>
        </w:rPr>
        <w:t xml:space="preserve"> Eğitim durumuna </w:t>
      </w:r>
      <w:r w:rsidRPr="0017672B">
        <w:rPr>
          <w:rFonts w:ascii="Arial" w:hAnsi="Arial" w:cs="Arial"/>
        </w:rPr>
        <w:t>göre kentte kadın işsizlik oranları (%)</w:t>
      </w:r>
    </w:p>
    <w:p w:rsidR="0094383C" w:rsidRPr="00CA6FEE" w:rsidRDefault="0094383C" w:rsidP="00CA6FEE">
      <w:pPr>
        <w:pStyle w:val="ResimYazs"/>
        <w:keepNext/>
        <w:rPr>
          <w:rFonts w:ascii="Arial" w:hAnsi="Arial" w:cs="Arial"/>
        </w:rPr>
      </w:pPr>
    </w:p>
    <w:tbl>
      <w:tblPr>
        <w:tblW w:w="9000" w:type="dxa"/>
        <w:tblInd w:w="-106"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0A0"/>
      </w:tblPr>
      <w:tblGrid>
        <w:gridCol w:w="1980"/>
        <w:gridCol w:w="877"/>
        <w:gridCol w:w="878"/>
        <w:gridCol w:w="877"/>
        <w:gridCol w:w="878"/>
        <w:gridCol w:w="877"/>
        <w:gridCol w:w="878"/>
        <w:gridCol w:w="877"/>
        <w:gridCol w:w="878"/>
      </w:tblGrid>
      <w:tr w:rsidR="0094383C" w:rsidRPr="007D098A">
        <w:trPr>
          <w:cantSplit/>
          <w:trHeight w:val="1336"/>
        </w:trPr>
        <w:tc>
          <w:tcPr>
            <w:tcW w:w="1980" w:type="dxa"/>
            <w:tcBorders>
              <w:top w:val="single" w:sz="4" w:space="0" w:color="BFBFBF"/>
            </w:tcBorders>
            <w:noWrap/>
            <w:vAlign w:val="bottom"/>
          </w:tcPr>
          <w:p w:rsidR="0094383C" w:rsidRPr="00724AA8" w:rsidRDefault="0094383C" w:rsidP="007D098A">
            <w:pPr>
              <w:rPr>
                <w:rFonts w:ascii="Calibri" w:hAnsi="Calibri" w:cs="Calibri"/>
                <w:color w:val="000000"/>
                <w:lang w:eastAsia="en-US"/>
              </w:rPr>
            </w:pPr>
          </w:p>
        </w:tc>
        <w:tc>
          <w:tcPr>
            <w:tcW w:w="877" w:type="dxa"/>
            <w:tcBorders>
              <w:top w:val="single" w:sz="4" w:space="0" w:color="BFBFBF"/>
            </w:tcBorders>
            <w:noWrap/>
            <w:tcMar>
              <w:left w:w="115" w:type="dxa"/>
              <w:right w:w="58" w:type="dxa"/>
            </w:tcMar>
            <w:textDirection w:val="btLr"/>
            <w:vAlign w:val="bottom"/>
          </w:tcPr>
          <w:p w:rsidR="0094383C" w:rsidRPr="007D098A" w:rsidRDefault="0094383C" w:rsidP="007D098A">
            <w:pPr>
              <w:ind w:left="113" w:right="113"/>
              <w:rPr>
                <w:rFonts w:ascii="Calibri" w:hAnsi="Calibri" w:cs="Calibri"/>
                <w:b/>
                <w:bCs/>
                <w:color w:val="000000"/>
                <w:lang w:eastAsia="en-US"/>
              </w:rPr>
            </w:pPr>
            <w:r w:rsidRPr="007D098A">
              <w:rPr>
                <w:rFonts w:ascii="Calibri" w:hAnsi="Calibri" w:cs="Calibri"/>
                <w:b/>
                <w:bCs/>
                <w:color w:val="000000"/>
                <w:sz w:val="22"/>
                <w:szCs w:val="22"/>
                <w:lang w:eastAsia="en-US"/>
              </w:rPr>
              <w:t>İşsizlik oranı</w:t>
            </w:r>
          </w:p>
        </w:tc>
        <w:tc>
          <w:tcPr>
            <w:tcW w:w="878" w:type="dxa"/>
            <w:tcBorders>
              <w:top w:val="single" w:sz="4" w:space="0" w:color="BFBFBF"/>
            </w:tcBorders>
            <w:noWrap/>
            <w:tcMar>
              <w:left w:w="115" w:type="dxa"/>
              <w:right w:w="58" w:type="dxa"/>
            </w:tcMar>
            <w:textDirection w:val="btLr"/>
            <w:vAlign w:val="bottom"/>
          </w:tcPr>
          <w:p w:rsidR="0094383C" w:rsidRPr="007D098A" w:rsidRDefault="0094383C" w:rsidP="007D098A">
            <w:pPr>
              <w:ind w:left="113" w:right="113"/>
              <w:rPr>
                <w:rFonts w:ascii="Calibri" w:hAnsi="Calibri" w:cs="Calibri"/>
                <w:b/>
                <w:bCs/>
                <w:color w:val="000000"/>
                <w:lang w:eastAsia="en-US"/>
              </w:rPr>
            </w:pPr>
            <w:r>
              <w:rPr>
                <w:rFonts w:ascii="Calibri" w:hAnsi="Calibri" w:cs="Calibri"/>
                <w:b/>
                <w:bCs/>
                <w:color w:val="000000"/>
                <w:sz w:val="22"/>
                <w:szCs w:val="22"/>
                <w:lang w:eastAsia="en-US"/>
              </w:rPr>
              <w:t>Okur</w:t>
            </w:r>
            <w:r w:rsidRPr="007D098A">
              <w:rPr>
                <w:rFonts w:ascii="Calibri" w:hAnsi="Calibri" w:cs="Calibri"/>
                <w:b/>
                <w:bCs/>
                <w:color w:val="000000"/>
                <w:sz w:val="22"/>
                <w:szCs w:val="22"/>
                <w:lang w:eastAsia="en-US"/>
              </w:rPr>
              <w:t>yazar olmayanlar</w:t>
            </w:r>
          </w:p>
        </w:tc>
        <w:tc>
          <w:tcPr>
            <w:tcW w:w="877" w:type="dxa"/>
            <w:tcBorders>
              <w:top w:val="single" w:sz="4" w:space="0" w:color="BFBFBF"/>
            </w:tcBorders>
            <w:noWrap/>
            <w:tcMar>
              <w:left w:w="115" w:type="dxa"/>
              <w:right w:w="58" w:type="dxa"/>
            </w:tcMar>
            <w:textDirection w:val="btLr"/>
            <w:vAlign w:val="bottom"/>
          </w:tcPr>
          <w:p w:rsidR="0094383C" w:rsidRPr="007D098A" w:rsidRDefault="0094383C" w:rsidP="007D098A">
            <w:pPr>
              <w:ind w:left="113" w:right="113"/>
              <w:rPr>
                <w:rFonts w:ascii="Calibri" w:hAnsi="Calibri" w:cs="Calibri"/>
                <w:b/>
                <w:bCs/>
                <w:color w:val="000000"/>
                <w:lang w:eastAsia="en-US"/>
              </w:rPr>
            </w:pPr>
            <w:r w:rsidRPr="007D098A">
              <w:rPr>
                <w:rFonts w:ascii="Calibri" w:hAnsi="Calibri" w:cs="Calibri"/>
                <w:b/>
                <w:bCs/>
                <w:color w:val="000000"/>
                <w:sz w:val="22"/>
                <w:szCs w:val="22"/>
                <w:lang w:eastAsia="en-US"/>
              </w:rPr>
              <w:t>Mezun olmayanlar</w:t>
            </w:r>
          </w:p>
        </w:tc>
        <w:tc>
          <w:tcPr>
            <w:tcW w:w="878" w:type="dxa"/>
            <w:tcBorders>
              <w:top w:val="single" w:sz="4" w:space="0" w:color="BFBFBF"/>
            </w:tcBorders>
            <w:noWrap/>
            <w:tcMar>
              <w:left w:w="115" w:type="dxa"/>
              <w:right w:w="58" w:type="dxa"/>
            </w:tcMar>
            <w:textDirection w:val="btLr"/>
            <w:vAlign w:val="bottom"/>
          </w:tcPr>
          <w:p w:rsidR="0094383C" w:rsidRPr="007D098A" w:rsidRDefault="0094383C" w:rsidP="007D098A">
            <w:pPr>
              <w:ind w:left="113" w:right="113"/>
              <w:rPr>
                <w:rFonts w:ascii="Calibri" w:hAnsi="Calibri" w:cs="Calibri"/>
                <w:b/>
                <w:bCs/>
                <w:color w:val="000000"/>
                <w:lang w:eastAsia="en-US"/>
              </w:rPr>
            </w:pPr>
            <w:r w:rsidRPr="007D098A">
              <w:rPr>
                <w:rFonts w:ascii="Calibri" w:hAnsi="Calibri" w:cs="Calibri"/>
                <w:b/>
                <w:bCs/>
                <w:color w:val="000000"/>
                <w:sz w:val="22"/>
                <w:szCs w:val="22"/>
                <w:lang w:eastAsia="en-US"/>
              </w:rPr>
              <w:t>İlkokul</w:t>
            </w:r>
          </w:p>
        </w:tc>
        <w:tc>
          <w:tcPr>
            <w:tcW w:w="877" w:type="dxa"/>
            <w:tcBorders>
              <w:top w:val="single" w:sz="4" w:space="0" w:color="BFBFBF"/>
            </w:tcBorders>
            <w:noWrap/>
            <w:tcMar>
              <w:left w:w="115" w:type="dxa"/>
              <w:right w:w="58" w:type="dxa"/>
            </w:tcMar>
            <w:textDirection w:val="btLr"/>
            <w:vAlign w:val="bottom"/>
          </w:tcPr>
          <w:p w:rsidR="0094383C" w:rsidRPr="007D098A" w:rsidRDefault="0094383C" w:rsidP="007D098A">
            <w:pPr>
              <w:ind w:left="113" w:right="113"/>
              <w:rPr>
                <w:rFonts w:ascii="Calibri" w:hAnsi="Calibri" w:cs="Calibri"/>
                <w:b/>
                <w:bCs/>
                <w:color w:val="000000"/>
                <w:lang w:eastAsia="en-US"/>
              </w:rPr>
            </w:pPr>
            <w:r w:rsidRPr="007D098A">
              <w:rPr>
                <w:rFonts w:ascii="Calibri" w:hAnsi="Calibri" w:cs="Calibri"/>
                <w:b/>
                <w:bCs/>
                <w:color w:val="000000"/>
                <w:sz w:val="22"/>
                <w:szCs w:val="22"/>
                <w:lang w:eastAsia="en-US"/>
              </w:rPr>
              <w:t>İlköğretim ya da ortaokul</w:t>
            </w:r>
          </w:p>
        </w:tc>
        <w:tc>
          <w:tcPr>
            <w:tcW w:w="878" w:type="dxa"/>
            <w:tcBorders>
              <w:top w:val="single" w:sz="4" w:space="0" w:color="BFBFBF"/>
            </w:tcBorders>
            <w:noWrap/>
            <w:tcMar>
              <w:left w:w="115" w:type="dxa"/>
              <w:right w:w="58" w:type="dxa"/>
            </w:tcMar>
            <w:textDirection w:val="btLr"/>
            <w:vAlign w:val="bottom"/>
          </w:tcPr>
          <w:p w:rsidR="0094383C" w:rsidRPr="007D098A" w:rsidRDefault="0094383C" w:rsidP="007D098A">
            <w:pPr>
              <w:ind w:left="113" w:right="113"/>
              <w:rPr>
                <w:rFonts w:ascii="Calibri" w:hAnsi="Calibri" w:cs="Calibri"/>
                <w:b/>
                <w:bCs/>
                <w:color w:val="000000"/>
                <w:lang w:eastAsia="en-US"/>
              </w:rPr>
            </w:pPr>
            <w:r w:rsidRPr="007D098A">
              <w:rPr>
                <w:rFonts w:ascii="Calibri" w:hAnsi="Calibri" w:cs="Calibri"/>
                <w:b/>
                <w:bCs/>
                <w:color w:val="000000"/>
                <w:sz w:val="22"/>
                <w:szCs w:val="22"/>
                <w:lang w:eastAsia="en-US"/>
              </w:rPr>
              <w:t xml:space="preserve">Lise </w:t>
            </w:r>
          </w:p>
        </w:tc>
        <w:tc>
          <w:tcPr>
            <w:tcW w:w="877" w:type="dxa"/>
            <w:tcBorders>
              <w:top w:val="single" w:sz="4" w:space="0" w:color="BFBFBF"/>
            </w:tcBorders>
            <w:noWrap/>
            <w:tcMar>
              <w:left w:w="115" w:type="dxa"/>
              <w:right w:w="58" w:type="dxa"/>
            </w:tcMar>
            <w:textDirection w:val="btLr"/>
            <w:vAlign w:val="bottom"/>
          </w:tcPr>
          <w:p w:rsidR="0094383C" w:rsidRPr="007D098A" w:rsidRDefault="0094383C" w:rsidP="007D098A">
            <w:pPr>
              <w:ind w:left="113" w:right="113"/>
              <w:rPr>
                <w:rFonts w:ascii="Calibri" w:hAnsi="Calibri" w:cs="Calibri"/>
                <w:b/>
                <w:bCs/>
                <w:color w:val="000000"/>
                <w:lang w:eastAsia="en-US"/>
              </w:rPr>
            </w:pPr>
            <w:r w:rsidRPr="007D098A">
              <w:rPr>
                <w:rFonts w:ascii="Calibri" w:hAnsi="Calibri" w:cs="Calibri"/>
                <w:b/>
                <w:bCs/>
                <w:color w:val="000000"/>
                <w:sz w:val="22"/>
                <w:szCs w:val="22"/>
                <w:lang w:eastAsia="en-US"/>
              </w:rPr>
              <w:t>Meslek lisesi</w:t>
            </w:r>
          </w:p>
        </w:tc>
        <w:tc>
          <w:tcPr>
            <w:tcW w:w="878" w:type="dxa"/>
            <w:tcBorders>
              <w:top w:val="single" w:sz="4" w:space="0" w:color="BFBFBF"/>
            </w:tcBorders>
            <w:noWrap/>
            <w:tcMar>
              <w:left w:w="115" w:type="dxa"/>
              <w:right w:w="58" w:type="dxa"/>
            </w:tcMar>
            <w:textDirection w:val="btLr"/>
            <w:vAlign w:val="bottom"/>
          </w:tcPr>
          <w:p w:rsidR="0094383C" w:rsidRPr="007D098A" w:rsidRDefault="0094383C" w:rsidP="007D098A">
            <w:pPr>
              <w:ind w:left="113" w:right="113"/>
              <w:rPr>
                <w:rFonts w:ascii="Calibri" w:hAnsi="Calibri" w:cs="Calibri"/>
                <w:b/>
                <w:bCs/>
                <w:color w:val="000000"/>
                <w:lang w:eastAsia="en-US"/>
              </w:rPr>
            </w:pPr>
            <w:r w:rsidRPr="007D098A">
              <w:rPr>
                <w:rFonts w:ascii="Calibri" w:hAnsi="Calibri" w:cs="Calibri"/>
                <w:b/>
                <w:bCs/>
                <w:color w:val="000000"/>
                <w:sz w:val="22"/>
                <w:szCs w:val="22"/>
                <w:lang w:eastAsia="en-US"/>
              </w:rPr>
              <w:t xml:space="preserve">Üniversite </w:t>
            </w:r>
          </w:p>
        </w:tc>
      </w:tr>
      <w:tr w:rsidR="0094383C" w:rsidRPr="007D098A">
        <w:trPr>
          <w:trHeight w:val="300"/>
        </w:trPr>
        <w:tc>
          <w:tcPr>
            <w:tcW w:w="1980" w:type="dxa"/>
            <w:noWrap/>
            <w:vAlign w:val="bottom"/>
          </w:tcPr>
          <w:p w:rsidR="0094383C" w:rsidRPr="007D098A" w:rsidRDefault="0094383C" w:rsidP="009A5F02">
            <w:pPr>
              <w:rPr>
                <w:rFonts w:ascii="Calibri" w:hAnsi="Calibri" w:cs="Calibri"/>
                <w:color w:val="000000"/>
                <w:lang w:val="en-US" w:eastAsia="en-US"/>
              </w:rPr>
            </w:pPr>
            <w:r w:rsidRPr="007D098A">
              <w:rPr>
                <w:rFonts w:ascii="Calibri" w:hAnsi="Calibri" w:cs="Calibri"/>
                <w:color w:val="000000"/>
                <w:sz w:val="22"/>
                <w:szCs w:val="22"/>
                <w:lang w:val="en-US" w:eastAsia="en-US"/>
              </w:rPr>
              <w:t>2004</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17.9</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8.1</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8.7</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14.0</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20.6</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23.1</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27.0</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16.5</w:t>
            </w:r>
          </w:p>
        </w:tc>
      </w:tr>
      <w:tr w:rsidR="0094383C" w:rsidRPr="007D098A">
        <w:trPr>
          <w:trHeight w:val="300"/>
        </w:trPr>
        <w:tc>
          <w:tcPr>
            <w:tcW w:w="1980" w:type="dxa"/>
            <w:noWrap/>
            <w:vAlign w:val="bottom"/>
          </w:tcPr>
          <w:p w:rsidR="0094383C" w:rsidRPr="007D098A" w:rsidRDefault="0094383C" w:rsidP="009A5F02">
            <w:pPr>
              <w:rPr>
                <w:rFonts w:ascii="Calibri" w:hAnsi="Calibri" w:cs="Calibri"/>
                <w:color w:val="000000"/>
                <w:lang w:val="en-US" w:eastAsia="en-US"/>
              </w:rPr>
            </w:pPr>
            <w:r w:rsidRPr="007D098A">
              <w:rPr>
                <w:rFonts w:ascii="Calibri" w:hAnsi="Calibri" w:cs="Calibri"/>
                <w:color w:val="000000"/>
                <w:sz w:val="22"/>
                <w:szCs w:val="22"/>
                <w:lang w:val="en-US" w:eastAsia="en-US"/>
              </w:rPr>
              <w:t>2005</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17.0</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8.0</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11.1</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14.8</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19.2</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23.3</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24.8</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13.8</w:t>
            </w:r>
          </w:p>
        </w:tc>
      </w:tr>
      <w:tr w:rsidR="0094383C" w:rsidRPr="007D098A">
        <w:trPr>
          <w:trHeight w:val="300"/>
        </w:trPr>
        <w:tc>
          <w:tcPr>
            <w:tcW w:w="1980" w:type="dxa"/>
            <w:noWrap/>
            <w:vAlign w:val="bottom"/>
          </w:tcPr>
          <w:p w:rsidR="0094383C" w:rsidRPr="007D098A" w:rsidRDefault="0094383C" w:rsidP="009A5F02">
            <w:pPr>
              <w:rPr>
                <w:rFonts w:ascii="Calibri" w:hAnsi="Calibri" w:cs="Calibri"/>
                <w:color w:val="000000"/>
                <w:lang w:val="en-US" w:eastAsia="en-US"/>
              </w:rPr>
            </w:pPr>
            <w:r w:rsidRPr="007D098A">
              <w:rPr>
                <w:rFonts w:ascii="Calibri" w:hAnsi="Calibri" w:cs="Calibri"/>
                <w:color w:val="000000"/>
                <w:sz w:val="22"/>
                <w:szCs w:val="22"/>
                <w:lang w:val="en-US" w:eastAsia="en-US"/>
              </w:rPr>
              <w:t>2006</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16.4</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6.5</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11.0</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15.0</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20.0</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23.5</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20.5</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12.9</w:t>
            </w:r>
          </w:p>
        </w:tc>
      </w:tr>
      <w:tr w:rsidR="0094383C" w:rsidRPr="007D098A">
        <w:trPr>
          <w:trHeight w:val="300"/>
        </w:trPr>
        <w:tc>
          <w:tcPr>
            <w:tcW w:w="1980" w:type="dxa"/>
            <w:noWrap/>
            <w:vAlign w:val="bottom"/>
          </w:tcPr>
          <w:p w:rsidR="0094383C" w:rsidRPr="007D098A" w:rsidRDefault="0094383C" w:rsidP="009A5F02">
            <w:pPr>
              <w:rPr>
                <w:rFonts w:ascii="Calibri" w:hAnsi="Calibri" w:cs="Calibri"/>
                <w:color w:val="000000"/>
                <w:lang w:val="en-US" w:eastAsia="en-US"/>
              </w:rPr>
            </w:pPr>
            <w:r w:rsidRPr="007D098A">
              <w:rPr>
                <w:rFonts w:ascii="Calibri" w:hAnsi="Calibri" w:cs="Calibri"/>
                <w:color w:val="000000"/>
                <w:sz w:val="22"/>
                <w:szCs w:val="22"/>
                <w:lang w:val="en-US" w:eastAsia="en-US"/>
              </w:rPr>
              <w:t>2007</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16.1</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7.6</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9.7</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13.0</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19.2</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22.7</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21.2</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13.6</w:t>
            </w:r>
          </w:p>
        </w:tc>
      </w:tr>
      <w:tr w:rsidR="0094383C" w:rsidRPr="007D098A">
        <w:trPr>
          <w:trHeight w:val="300"/>
        </w:trPr>
        <w:tc>
          <w:tcPr>
            <w:tcW w:w="1980" w:type="dxa"/>
            <w:noWrap/>
            <w:vAlign w:val="bottom"/>
          </w:tcPr>
          <w:p w:rsidR="0094383C" w:rsidRPr="007D098A" w:rsidRDefault="0094383C" w:rsidP="009A5F02">
            <w:pPr>
              <w:rPr>
                <w:rFonts w:ascii="Calibri" w:hAnsi="Calibri" w:cs="Calibri"/>
                <w:color w:val="000000"/>
                <w:lang w:val="en-US" w:eastAsia="en-US"/>
              </w:rPr>
            </w:pPr>
            <w:r w:rsidRPr="007D098A">
              <w:rPr>
                <w:rFonts w:ascii="Calibri" w:hAnsi="Calibri" w:cs="Calibri"/>
                <w:color w:val="000000"/>
                <w:sz w:val="22"/>
                <w:szCs w:val="22"/>
                <w:lang w:val="en-US" w:eastAsia="en-US"/>
              </w:rPr>
              <w:t>2008</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16.6</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9.3</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14.9</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14.8</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21.8</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20.3</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21.1</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13.8</w:t>
            </w:r>
          </w:p>
        </w:tc>
      </w:tr>
      <w:tr w:rsidR="0094383C" w:rsidRPr="007D098A">
        <w:trPr>
          <w:trHeight w:val="300"/>
        </w:trPr>
        <w:tc>
          <w:tcPr>
            <w:tcW w:w="1980" w:type="dxa"/>
            <w:noWrap/>
            <w:vAlign w:val="bottom"/>
          </w:tcPr>
          <w:p w:rsidR="0094383C" w:rsidRPr="007D098A" w:rsidRDefault="0094383C" w:rsidP="009A5F02">
            <w:pPr>
              <w:rPr>
                <w:rFonts w:ascii="Calibri" w:hAnsi="Calibri" w:cs="Calibri"/>
                <w:color w:val="000000"/>
                <w:lang w:val="en-US" w:eastAsia="en-US"/>
              </w:rPr>
            </w:pPr>
            <w:r w:rsidRPr="007D098A">
              <w:rPr>
                <w:rFonts w:ascii="Calibri" w:hAnsi="Calibri" w:cs="Calibri"/>
                <w:color w:val="000000"/>
                <w:sz w:val="22"/>
                <w:szCs w:val="22"/>
                <w:lang w:val="en-US" w:eastAsia="en-US"/>
              </w:rPr>
              <w:t>2009</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20.4</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11.9</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21.2</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17.7</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26.3</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27.2</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26.6</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15.7</w:t>
            </w:r>
          </w:p>
        </w:tc>
      </w:tr>
      <w:tr w:rsidR="0094383C" w:rsidRPr="007D098A">
        <w:trPr>
          <w:trHeight w:val="300"/>
        </w:trPr>
        <w:tc>
          <w:tcPr>
            <w:tcW w:w="1980" w:type="dxa"/>
            <w:noWrap/>
            <w:vAlign w:val="bottom"/>
          </w:tcPr>
          <w:p w:rsidR="0094383C" w:rsidRPr="007D098A" w:rsidRDefault="0094383C" w:rsidP="009A5F02">
            <w:pPr>
              <w:rPr>
                <w:rFonts w:ascii="Calibri" w:hAnsi="Calibri" w:cs="Calibri"/>
                <w:color w:val="000000"/>
                <w:lang w:val="en-US" w:eastAsia="en-US"/>
              </w:rPr>
            </w:pPr>
            <w:r w:rsidRPr="007D098A">
              <w:rPr>
                <w:rFonts w:ascii="Calibri" w:hAnsi="Calibri" w:cs="Calibri"/>
                <w:color w:val="000000"/>
                <w:sz w:val="22"/>
                <w:szCs w:val="22"/>
                <w:lang w:val="en-US" w:eastAsia="en-US"/>
              </w:rPr>
              <w:t>2010</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18.7</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10.1</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15.8</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16.0</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24.0</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25.4</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23.5</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15.5</w:t>
            </w:r>
          </w:p>
        </w:tc>
      </w:tr>
      <w:tr w:rsidR="0094383C" w:rsidRPr="007D098A">
        <w:trPr>
          <w:trHeight w:val="300"/>
        </w:trPr>
        <w:tc>
          <w:tcPr>
            <w:tcW w:w="1980" w:type="dxa"/>
            <w:noWrap/>
            <w:vAlign w:val="bottom"/>
          </w:tcPr>
          <w:p w:rsidR="0094383C" w:rsidRPr="007D098A" w:rsidRDefault="0094383C" w:rsidP="009A5F02">
            <w:pPr>
              <w:rPr>
                <w:rFonts w:ascii="Calibri" w:hAnsi="Calibri" w:cs="Calibri"/>
                <w:color w:val="000000"/>
                <w:lang w:val="en-US" w:eastAsia="en-US"/>
              </w:rPr>
            </w:pPr>
            <w:r w:rsidRPr="007D098A">
              <w:rPr>
                <w:rFonts w:ascii="Calibri" w:hAnsi="Calibri" w:cs="Calibri"/>
                <w:color w:val="000000"/>
                <w:sz w:val="22"/>
                <w:szCs w:val="22"/>
                <w:lang w:val="en-US" w:eastAsia="en-US"/>
              </w:rPr>
              <w:t>2011</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16.6</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7.9</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14.8</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13.6</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19.9</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22.5</w:t>
            </w:r>
          </w:p>
        </w:tc>
        <w:tc>
          <w:tcPr>
            <w:tcW w:w="877"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21.3</w:t>
            </w:r>
          </w:p>
        </w:tc>
        <w:tc>
          <w:tcPr>
            <w:tcW w:w="878" w:type="dxa"/>
            <w:noWrap/>
            <w:vAlign w:val="bottom"/>
          </w:tcPr>
          <w:p w:rsidR="0094383C" w:rsidRDefault="0094383C">
            <w:pPr>
              <w:jc w:val="right"/>
              <w:rPr>
                <w:rFonts w:ascii="Calibri" w:hAnsi="Calibri" w:cs="Calibri"/>
                <w:color w:val="000000"/>
              </w:rPr>
            </w:pPr>
            <w:r>
              <w:rPr>
                <w:rFonts w:ascii="Calibri" w:hAnsi="Calibri" w:cs="Calibri"/>
                <w:color w:val="000000"/>
                <w:sz w:val="22"/>
                <w:szCs w:val="22"/>
              </w:rPr>
              <w:t>14.6</w:t>
            </w:r>
          </w:p>
        </w:tc>
      </w:tr>
      <w:tr w:rsidR="0094383C" w:rsidRPr="007D098A">
        <w:trPr>
          <w:trHeight w:val="300"/>
        </w:trPr>
        <w:tc>
          <w:tcPr>
            <w:tcW w:w="1980" w:type="dxa"/>
            <w:tcBorders>
              <w:bottom w:val="single" w:sz="4" w:space="0" w:color="BFBFBF"/>
            </w:tcBorders>
            <w:noWrap/>
            <w:vAlign w:val="bottom"/>
          </w:tcPr>
          <w:p w:rsidR="0094383C" w:rsidRPr="00AE0B26" w:rsidRDefault="0094383C" w:rsidP="00DC34FC">
            <w:pPr>
              <w:rPr>
                <w:rFonts w:ascii="Calibri" w:hAnsi="Calibri" w:cs="Calibri"/>
                <w:color w:val="000000"/>
                <w:lang w:val="en-US" w:eastAsia="en-US"/>
              </w:rPr>
            </w:pPr>
            <w:r w:rsidRPr="00AE0B26">
              <w:rPr>
                <w:rFonts w:ascii="Calibri" w:hAnsi="Calibri" w:cs="Calibri"/>
                <w:b/>
                <w:bCs/>
                <w:color w:val="000000"/>
                <w:sz w:val="22"/>
                <w:szCs w:val="22"/>
                <w:lang w:val="en-US" w:eastAsia="en-US"/>
              </w:rPr>
              <w:t>2004 – 2011 fark</w:t>
            </w:r>
            <w:r>
              <w:rPr>
                <w:rFonts w:ascii="Calibri" w:hAnsi="Calibri" w:cs="Calibri"/>
                <w:b/>
                <w:bCs/>
                <w:color w:val="000000"/>
                <w:sz w:val="22"/>
                <w:szCs w:val="22"/>
                <w:lang w:val="en-US" w:eastAsia="en-US"/>
              </w:rPr>
              <w:t>ı</w:t>
            </w:r>
            <w:r w:rsidRPr="00AE0B26">
              <w:rPr>
                <w:rFonts w:ascii="Calibri" w:hAnsi="Calibri" w:cs="Calibri"/>
                <w:b/>
                <w:bCs/>
                <w:color w:val="000000"/>
                <w:sz w:val="22"/>
                <w:szCs w:val="22"/>
                <w:lang w:val="en-US" w:eastAsia="en-US"/>
              </w:rPr>
              <w:t xml:space="preserve"> (yüzde puan)</w:t>
            </w:r>
          </w:p>
        </w:tc>
        <w:tc>
          <w:tcPr>
            <w:tcW w:w="877" w:type="dxa"/>
            <w:tcBorders>
              <w:bottom w:val="single" w:sz="4" w:space="0" w:color="BFBFBF"/>
            </w:tcBorders>
            <w:noWrap/>
            <w:vAlign w:val="bottom"/>
          </w:tcPr>
          <w:p w:rsidR="0094383C" w:rsidRPr="00AE0B26" w:rsidRDefault="0094383C" w:rsidP="007D098A">
            <w:pPr>
              <w:jc w:val="right"/>
              <w:rPr>
                <w:rFonts w:ascii="Calibri" w:hAnsi="Calibri" w:cs="Calibri"/>
                <w:color w:val="000000"/>
                <w:lang w:val="en-US" w:eastAsia="en-US"/>
              </w:rPr>
            </w:pPr>
            <w:r w:rsidRPr="00AE0B26">
              <w:rPr>
                <w:rFonts w:ascii="Calibri" w:hAnsi="Calibri" w:cs="Calibri"/>
                <w:color w:val="000000"/>
                <w:sz w:val="22"/>
                <w:szCs w:val="22"/>
                <w:lang w:val="en-US" w:eastAsia="en-US"/>
              </w:rPr>
              <w:t>-1.4</w:t>
            </w:r>
          </w:p>
        </w:tc>
        <w:tc>
          <w:tcPr>
            <w:tcW w:w="878" w:type="dxa"/>
            <w:tcBorders>
              <w:bottom w:val="single" w:sz="4" w:space="0" w:color="BFBFBF"/>
            </w:tcBorders>
            <w:noWrap/>
            <w:vAlign w:val="bottom"/>
          </w:tcPr>
          <w:p w:rsidR="0094383C" w:rsidRPr="00AE0B26" w:rsidRDefault="0094383C" w:rsidP="007D098A">
            <w:pPr>
              <w:jc w:val="right"/>
              <w:rPr>
                <w:rFonts w:ascii="Calibri" w:hAnsi="Calibri" w:cs="Calibri"/>
                <w:color w:val="000000"/>
                <w:lang w:val="en-US" w:eastAsia="en-US"/>
              </w:rPr>
            </w:pPr>
            <w:r w:rsidRPr="00AE0B26">
              <w:rPr>
                <w:rFonts w:ascii="Calibri" w:hAnsi="Calibri" w:cs="Calibri"/>
                <w:color w:val="000000"/>
                <w:sz w:val="22"/>
                <w:szCs w:val="22"/>
                <w:lang w:val="en-US" w:eastAsia="en-US"/>
              </w:rPr>
              <w:t>-0.1</w:t>
            </w:r>
          </w:p>
        </w:tc>
        <w:tc>
          <w:tcPr>
            <w:tcW w:w="877" w:type="dxa"/>
            <w:tcBorders>
              <w:bottom w:val="single" w:sz="4" w:space="0" w:color="BFBFBF"/>
            </w:tcBorders>
            <w:noWrap/>
            <w:vAlign w:val="bottom"/>
          </w:tcPr>
          <w:p w:rsidR="0094383C" w:rsidRPr="00AE0B26" w:rsidRDefault="0094383C" w:rsidP="007D098A">
            <w:pPr>
              <w:jc w:val="right"/>
              <w:rPr>
                <w:rFonts w:ascii="Calibri" w:hAnsi="Calibri" w:cs="Calibri"/>
                <w:color w:val="000000"/>
                <w:lang w:val="en-US" w:eastAsia="en-US"/>
              </w:rPr>
            </w:pPr>
            <w:r w:rsidRPr="00AE0B26">
              <w:rPr>
                <w:rFonts w:ascii="Calibri" w:hAnsi="Calibri" w:cs="Calibri"/>
                <w:color w:val="000000"/>
                <w:sz w:val="22"/>
                <w:szCs w:val="22"/>
                <w:lang w:val="en-US" w:eastAsia="en-US"/>
              </w:rPr>
              <w:t>6.2</w:t>
            </w:r>
          </w:p>
        </w:tc>
        <w:tc>
          <w:tcPr>
            <w:tcW w:w="878" w:type="dxa"/>
            <w:tcBorders>
              <w:bottom w:val="single" w:sz="4" w:space="0" w:color="BFBFBF"/>
            </w:tcBorders>
            <w:noWrap/>
            <w:vAlign w:val="bottom"/>
          </w:tcPr>
          <w:p w:rsidR="0094383C" w:rsidRPr="00AE0B26" w:rsidRDefault="0094383C" w:rsidP="007D098A">
            <w:pPr>
              <w:jc w:val="right"/>
              <w:rPr>
                <w:rFonts w:ascii="Calibri" w:hAnsi="Calibri" w:cs="Calibri"/>
                <w:color w:val="000000"/>
                <w:lang w:val="en-US" w:eastAsia="en-US"/>
              </w:rPr>
            </w:pPr>
            <w:r w:rsidRPr="00AE0B26">
              <w:rPr>
                <w:rFonts w:ascii="Calibri" w:hAnsi="Calibri" w:cs="Calibri"/>
                <w:color w:val="000000"/>
                <w:sz w:val="22"/>
                <w:szCs w:val="22"/>
                <w:lang w:val="en-US" w:eastAsia="en-US"/>
              </w:rPr>
              <w:t>-0.4</w:t>
            </w:r>
          </w:p>
        </w:tc>
        <w:tc>
          <w:tcPr>
            <w:tcW w:w="877" w:type="dxa"/>
            <w:tcBorders>
              <w:bottom w:val="single" w:sz="4" w:space="0" w:color="BFBFBF"/>
            </w:tcBorders>
            <w:noWrap/>
            <w:vAlign w:val="bottom"/>
          </w:tcPr>
          <w:p w:rsidR="0094383C" w:rsidRPr="00AE0B26" w:rsidRDefault="0094383C" w:rsidP="007D098A">
            <w:pPr>
              <w:jc w:val="right"/>
              <w:rPr>
                <w:rFonts w:ascii="Calibri" w:hAnsi="Calibri" w:cs="Calibri"/>
                <w:color w:val="000000"/>
                <w:lang w:val="en-US" w:eastAsia="en-US"/>
              </w:rPr>
            </w:pPr>
            <w:r w:rsidRPr="00AE0B26">
              <w:rPr>
                <w:rFonts w:ascii="Calibri" w:hAnsi="Calibri" w:cs="Calibri"/>
                <w:color w:val="000000"/>
                <w:sz w:val="22"/>
                <w:szCs w:val="22"/>
                <w:lang w:val="en-US" w:eastAsia="en-US"/>
              </w:rPr>
              <w:t>-0.7</w:t>
            </w:r>
          </w:p>
        </w:tc>
        <w:tc>
          <w:tcPr>
            <w:tcW w:w="878" w:type="dxa"/>
            <w:tcBorders>
              <w:bottom w:val="single" w:sz="4" w:space="0" w:color="BFBFBF"/>
            </w:tcBorders>
            <w:noWrap/>
            <w:vAlign w:val="bottom"/>
          </w:tcPr>
          <w:p w:rsidR="0094383C" w:rsidRPr="00AE0B26" w:rsidRDefault="0094383C" w:rsidP="007D098A">
            <w:pPr>
              <w:jc w:val="right"/>
              <w:rPr>
                <w:rFonts w:ascii="Calibri" w:hAnsi="Calibri" w:cs="Calibri"/>
                <w:color w:val="000000"/>
                <w:lang w:val="en-US" w:eastAsia="en-US"/>
              </w:rPr>
            </w:pPr>
            <w:r w:rsidRPr="00AE0B26">
              <w:rPr>
                <w:rFonts w:ascii="Calibri" w:hAnsi="Calibri" w:cs="Calibri"/>
                <w:color w:val="000000"/>
                <w:sz w:val="22"/>
                <w:szCs w:val="22"/>
                <w:lang w:val="en-US" w:eastAsia="en-US"/>
              </w:rPr>
              <w:t>-0.7</w:t>
            </w:r>
          </w:p>
        </w:tc>
        <w:tc>
          <w:tcPr>
            <w:tcW w:w="877" w:type="dxa"/>
            <w:tcBorders>
              <w:bottom w:val="single" w:sz="4" w:space="0" w:color="BFBFBF"/>
            </w:tcBorders>
            <w:noWrap/>
            <w:vAlign w:val="bottom"/>
          </w:tcPr>
          <w:p w:rsidR="0094383C" w:rsidRPr="00AE0B26" w:rsidRDefault="0094383C" w:rsidP="007D098A">
            <w:pPr>
              <w:jc w:val="right"/>
              <w:rPr>
                <w:rFonts w:ascii="Calibri" w:hAnsi="Calibri" w:cs="Calibri"/>
                <w:color w:val="000000"/>
                <w:lang w:val="en-US" w:eastAsia="en-US"/>
              </w:rPr>
            </w:pPr>
            <w:r w:rsidRPr="00AE0B26">
              <w:rPr>
                <w:rFonts w:ascii="Calibri" w:hAnsi="Calibri" w:cs="Calibri"/>
                <w:color w:val="000000"/>
                <w:sz w:val="22"/>
                <w:szCs w:val="22"/>
                <w:lang w:val="en-US" w:eastAsia="en-US"/>
              </w:rPr>
              <w:t>-5.7</w:t>
            </w:r>
          </w:p>
        </w:tc>
        <w:tc>
          <w:tcPr>
            <w:tcW w:w="878" w:type="dxa"/>
            <w:tcBorders>
              <w:bottom w:val="single" w:sz="4" w:space="0" w:color="BFBFBF"/>
            </w:tcBorders>
            <w:noWrap/>
            <w:vAlign w:val="bottom"/>
          </w:tcPr>
          <w:p w:rsidR="0094383C" w:rsidRPr="00AE0B26" w:rsidRDefault="0094383C" w:rsidP="007D098A">
            <w:pPr>
              <w:jc w:val="right"/>
              <w:rPr>
                <w:rFonts w:ascii="Calibri" w:hAnsi="Calibri" w:cs="Calibri"/>
                <w:color w:val="000000"/>
                <w:lang w:val="en-US" w:eastAsia="en-US"/>
              </w:rPr>
            </w:pPr>
            <w:r w:rsidRPr="00AE0B26">
              <w:rPr>
                <w:rFonts w:ascii="Calibri" w:hAnsi="Calibri" w:cs="Calibri"/>
                <w:color w:val="000000"/>
                <w:sz w:val="22"/>
                <w:szCs w:val="22"/>
                <w:lang w:val="en-US" w:eastAsia="en-US"/>
              </w:rPr>
              <w:t>-1.9</w:t>
            </w:r>
          </w:p>
        </w:tc>
      </w:tr>
    </w:tbl>
    <w:p w:rsidR="0094383C" w:rsidRDefault="0094383C" w:rsidP="00F81DC0">
      <w:pPr>
        <w:rPr>
          <w:rFonts w:ascii="Arial" w:hAnsi="Arial" w:cs="Arial"/>
          <w:sz w:val="20"/>
          <w:szCs w:val="20"/>
        </w:rPr>
      </w:pPr>
    </w:p>
    <w:p w:rsidR="0094383C" w:rsidRDefault="0094383C" w:rsidP="00F81DC0">
      <w:pPr>
        <w:rPr>
          <w:rFonts w:ascii="Arial" w:hAnsi="Arial" w:cs="Arial"/>
          <w:sz w:val="20"/>
          <w:szCs w:val="20"/>
        </w:rPr>
      </w:pPr>
      <w:r>
        <w:rPr>
          <w:rFonts w:ascii="Arial" w:hAnsi="Arial" w:cs="Arial"/>
          <w:sz w:val="20"/>
          <w:szCs w:val="20"/>
        </w:rPr>
        <w:t>İşgücü piyasası durumlarının önemli bir boyutu da istihdam durumudur (</w:t>
      </w:r>
      <w:fldSimple w:instr=" REF _Ref346627762 \h  \* MERGEFORMAT ">
        <w:r w:rsidRPr="00526FFE">
          <w:rPr>
            <w:rFonts w:ascii="Arial" w:hAnsi="Arial" w:cs="Arial"/>
            <w:sz w:val="20"/>
            <w:szCs w:val="20"/>
          </w:rPr>
          <w:t xml:space="preserve">Tablo </w:t>
        </w:r>
        <w:r w:rsidRPr="00526FFE">
          <w:rPr>
            <w:rFonts w:ascii="Arial" w:hAnsi="Arial" w:cs="Arial"/>
            <w:noProof/>
            <w:sz w:val="20"/>
            <w:szCs w:val="20"/>
          </w:rPr>
          <w:t>4</w:t>
        </w:r>
      </w:fldSimple>
      <w:r>
        <w:rPr>
          <w:rFonts w:ascii="Arial" w:hAnsi="Arial" w:cs="Arial"/>
          <w:sz w:val="20"/>
          <w:szCs w:val="20"/>
        </w:rPr>
        <w:t xml:space="preserve">). Söz konusu dönemde kadınlar arasında kayıtlı ve ücretli istihdamın payının arttığı görülmektedir. En makbul istihdam şekli olarak kabul edilen kayıtlı ve ücretli istihdamın payının %55,7’den %61,3’e çıkmış olması kuşkusuz çok olumlu bir gelişmedir. </w:t>
      </w:r>
    </w:p>
    <w:p w:rsidR="0094383C" w:rsidRDefault="0094383C" w:rsidP="00F81DC0">
      <w:pPr>
        <w:rPr>
          <w:rFonts w:ascii="Arial" w:hAnsi="Arial" w:cs="Arial"/>
          <w:sz w:val="20"/>
          <w:szCs w:val="20"/>
        </w:rPr>
      </w:pPr>
    </w:p>
    <w:p w:rsidR="0094383C" w:rsidRDefault="0094383C" w:rsidP="00F81DC0">
      <w:pPr>
        <w:rPr>
          <w:rFonts w:ascii="Arial" w:hAnsi="Arial" w:cs="Arial"/>
          <w:sz w:val="20"/>
          <w:szCs w:val="20"/>
        </w:rPr>
      </w:pPr>
      <w:r>
        <w:rPr>
          <w:rFonts w:ascii="Arial" w:hAnsi="Arial" w:cs="Arial"/>
          <w:sz w:val="20"/>
          <w:szCs w:val="20"/>
        </w:rPr>
        <w:t xml:space="preserve">2008 yılında başlatılan ve Torba Yasa olarak bilinen 6111 Sayılı Kanun ile uzatılan SGK işveren prim teşvikleri kadın ve gençlerin kayıtlı çalışmalarının maliyetini işverenler için düşürerek kayıtlı ve ücretli istihdamın payının artmasında rol oynamış </w:t>
      </w:r>
      <w:r w:rsidRPr="00CF0BB6">
        <w:rPr>
          <w:rFonts w:ascii="Arial" w:hAnsi="Arial" w:cs="Arial"/>
          <w:sz w:val="20"/>
          <w:szCs w:val="20"/>
        </w:rPr>
        <w:t>olabilir.</w:t>
      </w:r>
    </w:p>
    <w:p w:rsidR="0094383C" w:rsidRDefault="0094383C" w:rsidP="00F81DC0">
      <w:pPr>
        <w:rPr>
          <w:rFonts w:ascii="Arial" w:hAnsi="Arial" w:cs="Arial"/>
          <w:sz w:val="20"/>
          <w:szCs w:val="20"/>
        </w:rPr>
      </w:pPr>
    </w:p>
    <w:p w:rsidR="0094383C" w:rsidRDefault="002C6A36" w:rsidP="00F81DC0">
      <w:pPr>
        <w:rPr>
          <w:rFonts w:ascii="Arial" w:hAnsi="Arial" w:cs="Arial"/>
          <w:sz w:val="20"/>
          <w:szCs w:val="20"/>
        </w:rPr>
      </w:pPr>
      <w:fldSimple w:instr=" REF _Ref346627762 \h  \* MERGEFORMAT ">
        <w:r w:rsidR="0094383C" w:rsidRPr="00526FFE">
          <w:rPr>
            <w:rFonts w:ascii="Arial" w:hAnsi="Arial" w:cs="Arial"/>
            <w:sz w:val="20"/>
            <w:szCs w:val="20"/>
          </w:rPr>
          <w:t xml:space="preserve">Tablo </w:t>
        </w:r>
        <w:r w:rsidR="0094383C" w:rsidRPr="00526FFE">
          <w:rPr>
            <w:rFonts w:ascii="Arial" w:hAnsi="Arial" w:cs="Arial"/>
            <w:noProof/>
            <w:sz w:val="20"/>
            <w:szCs w:val="20"/>
          </w:rPr>
          <w:t>4</w:t>
        </w:r>
      </w:fldSimple>
      <w:r w:rsidR="0094383C">
        <w:rPr>
          <w:rFonts w:ascii="Arial" w:hAnsi="Arial" w:cs="Arial"/>
          <w:sz w:val="20"/>
          <w:szCs w:val="20"/>
        </w:rPr>
        <w:t xml:space="preserve">’teki veriler ekonomik krizle beraber gözlemlenen ek çalışan etkisine de işaret etmektedir. 2009 ve 2010 yıllarında kendi hesabına çalışan kadınların payında kayda değer artışlar görülmektedir. Ancak bu etki 2011 yılında zayıflamış, kendi hesabına çalışan kadınların payı 2010 yılından %11,1’den 2011 yılında %9,9’a gerilemiştir. </w:t>
      </w:r>
    </w:p>
    <w:p w:rsidR="0094383C" w:rsidRDefault="0094383C" w:rsidP="00F81DC0">
      <w:pPr>
        <w:rPr>
          <w:rFonts w:ascii="Arial" w:hAnsi="Arial" w:cs="Arial"/>
          <w:sz w:val="20"/>
          <w:szCs w:val="20"/>
        </w:rPr>
      </w:pPr>
    </w:p>
    <w:p w:rsidR="0094383C" w:rsidRPr="00121ACA" w:rsidRDefault="0094383C" w:rsidP="0089434A">
      <w:pPr>
        <w:pStyle w:val="ResimYazs"/>
        <w:keepNext/>
        <w:rPr>
          <w:rFonts w:ascii="Arial" w:hAnsi="Arial" w:cs="Arial"/>
        </w:rPr>
      </w:pPr>
      <w:bookmarkStart w:id="4" w:name="_Ref346627762"/>
      <w:r w:rsidRPr="00CF0BB6">
        <w:rPr>
          <w:rFonts w:ascii="Arial" w:hAnsi="Arial" w:cs="Arial"/>
        </w:rPr>
        <w:t>Tablo</w:t>
      </w:r>
      <w:r w:rsidR="002C6A36" w:rsidRPr="00CF0BB6">
        <w:rPr>
          <w:rFonts w:ascii="Arial" w:hAnsi="Arial" w:cs="Arial"/>
        </w:rPr>
        <w:fldChar w:fldCharType="begin"/>
      </w:r>
      <w:r w:rsidRPr="00CF0BB6">
        <w:rPr>
          <w:rFonts w:ascii="Arial" w:hAnsi="Arial" w:cs="Arial"/>
        </w:rPr>
        <w:instrText xml:space="preserve"> SEQ Table \* ARABIC </w:instrText>
      </w:r>
      <w:r w:rsidR="002C6A36" w:rsidRPr="00CF0BB6">
        <w:rPr>
          <w:rFonts w:ascii="Arial" w:hAnsi="Arial" w:cs="Arial"/>
        </w:rPr>
        <w:fldChar w:fldCharType="separate"/>
      </w:r>
      <w:r w:rsidRPr="00CF0BB6">
        <w:rPr>
          <w:rFonts w:ascii="Arial" w:hAnsi="Arial" w:cs="Arial"/>
          <w:noProof/>
        </w:rPr>
        <w:t>4</w:t>
      </w:r>
      <w:r w:rsidR="002C6A36" w:rsidRPr="00CF0BB6">
        <w:rPr>
          <w:rFonts w:ascii="Arial" w:hAnsi="Arial" w:cs="Arial"/>
        </w:rPr>
        <w:fldChar w:fldCharType="end"/>
      </w:r>
      <w:bookmarkEnd w:id="4"/>
      <w:r w:rsidRPr="00CF0BB6">
        <w:rPr>
          <w:rFonts w:ascii="Arial" w:hAnsi="Arial" w:cs="Arial"/>
        </w:rPr>
        <w:t xml:space="preserve"> İstihdam durumu kentte kadın (%)</w:t>
      </w:r>
    </w:p>
    <w:p w:rsidR="0094383C" w:rsidRPr="00044637" w:rsidRDefault="0094383C" w:rsidP="00044637">
      <w:pPr>
        <w:pStyle w:val="ResimYazs"/>
        <w:keepNext/>
        <w:rPr>
          <w:rFonts w:ascii="Arial" w:hAnsi="Arial" w:cs="Arial"/>
        </w:rPr>
      </w:pPr>
    </w:p>
    <w:tbl>
      <w:tblPr>
        <w:tblW w:w="8388" w:type="dxa"/>
        <w:tblInd w:w="-106"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0A0"/>
      </w:tblPr>
      <w:tblGrid>
        <w:gridCol w:w="1908"/>
        <w:gridCol w:w="1080"/>
        <w:gridCol w:w="1080"/>
        <w:gridCol w:w="1080"/>
        <w:gridCol w:w="1080"/>
        <w:gridCol w:w="1080"/>
        <w:gridCol w:w="1080"/>
      </w:tblGrid>
      <w:tr w:rsidR="0094383C" w:rsidRPr="00DE59FA">
        <w:trPr>
          <w:trHeight w:val="300"/>
        </w:trPr>
        <w:tc>
          <w:tcPr>
            <w:tcW w:w="1908" w:type="dxa"/>
            <w:tcBorders>
              <w:top w:val="single" w:sz="4" w:space="0" w:color="BFBFBF"/>
            </w:tcBorders>
            <w:noWrap/>
            <w:vAlign w:val="bottom"/>
          </w:tcPr>
          <w:p w:rsidR="0094383C" w:rsidRPr="00712BA8" w:rsidRDefault="0094383C" w:rsidP="00DE59FA">
            <w:pPr>
              <w:rPr>
                <w:rFonts w:ascii="Calibri" w:hAnsi="Calibri" w:cs="Calibri"/>
                <w:color w:val="000000"/>
                <w:lang w:eastAsia="en-US"/>
              </w:rPr>
            </w:pPr>
          </w:p>
        </w:tc>
        <w:tc>
          <w:tcPr>
            <w:tcW w:w="1080" w:type="dxa"/>
            <w:tcBorders>
              <w:top w:val="single" w:sz="4" w:space="0" w:color="BFBFBF"/>
            </w:tcBorders>
            <w:noWrap/>
            <w:vAlign w:val="bottom"/>
          </w:tcPr>
          <w:p w:rsidR="0094383C" w:rsidRPr="00DE59FA" w:rsidRDefault="0094383C" w:rsidP="00DE59FA">
            <w:pPr>
              <w:rPr>
                <w:rFonts w:ascii="Calibri" w:hAnsi="Calibri" w:cs="Calibri"/>
                <w:color w:val="000000"/>
                <w:lang w:val="en-US" w:eastAsia="en-US"/>
              </w:rPr>
            </w:pPr>
            <w:r w:rsidRPr="00DE59FA">
              <w:rPr>
                <w:rFonts w:ascii="Calibri" w:hAnsi="Calibri" w:cs="Calibri"/>
                <w:color w:val="000000"/>
                <w:sz w:val="22"/>
                <w:szCs w:val="22"/>
                <w:lang w:val="en-US" w:eastAsia="en-US"/>
              </w:rPr>
              <w:t>Kayıtlı ücretli</w:t>
            </w:r>
          </w:p>
        </w:tc>
        <w:tc>
          <w:tcPr>
            <w:tcW w:w="1080" w:type="dxa"/>
            <w:tcBorders>
              <w:top w:val="single" w:sz="4" w:space="0" w:color="BFBFBF"/>
            </w:tcBorders>
            <w:noWrap/>
            <w:vAlign w:val="bottom"/>
          </w:tcPr>
          <w:p w:rsidR="0094383C" w:rsidRPr="00DE59FA" w:rsidRDefault="0094383C" w:rsidP="00DE59FA">
            <w:pPr>
              <w:rPr>
                <w:rFonts w:ascii="Calibri" w:hAnsi="Calibri" w:cs="Calibri"/>
                <w:color w:val="000000"/>
                <w:lang w:val="en-US" w:eastAsia="en-US"/>
              </w:rPr>
            </w:pPr>
            <w:r w:rsidRPr="00DE59FA">
              <w:rPr>
                <w:rFonts w:ascii="Calibri" w:hAnsi="Calibri" w:cs="Calibri"/>
                <w:color w:val="000000"/>
                <w:sz w:val="22"/>
                <w:szCs w:val="22"/>
                <w:lang w:val="en-US" w:eastAsia="en-US"/>
              </w:rPr>
              <w:t>Kayıtsız ücretli</w:t>
            </w:r>
          </w:p>
        </w:tc>
        <w:tc>
          <w:tcPr>
            <w:tcW w:w="1080" w:type="dxa"/>
            <w:tcBorders>
              <w:top w:val="single" w:sz="4" w:space="0" w:color="BFBFBF"/>
            </w:tcBorders>
            <w:noWrap/>
            <w:vAlign w:val="bottom"/>
          </w:tcPr>
          <w:p w:rsidR="0094383C" w:rsidRPr="00DE59FA" w:rsidRDefault="0094383C" w:rsidP="00DE59FA">
            <w:pPr>
              <w:rPr>
                <w:rFonts w:ascii="Calibri" w:hAnsi="Calibri" w:cs="Calibri"/>
                <w:color w:val="000000"/>
                <w:lang w:val="en-US" w:eastAsia="en-US"/>
              </w:rPr>
            </w:pPr>
            <w:r w:rsidRPr="00DE59FA">
              <w:rPr>
                <w:rFonts w:ascii="Calibri" w:hAnsi="Calibri" w:cs="Calibri"/>
                <w:color w:val="000000"/>
                <w:sz w:val="22"/>
                <w:szCs w:val="22"/>
                <w:lang w:val="en-US" w:eastAsia="en-US"/>
              </w:rPr>
              <w:t xml:space="preserve">İşveren </w:t>
            </w:r>
          </w:p>
        </w:tc>
        <w:tc>
          <w:tcPr>
            <w:tcW w:w="1080" w:type="dxa"/>
            <w:tcBorders>
              <w:top w:val="single" w:sz="4" w:space="0" w:color="BFBFBF"/>
            </w:tcBorders>
            <w:noWrap/>
            <w:vAlign w:val="bottom"/>
          </w:tcPr>
          <w:p w:rsidR="0094383C" w:rsidRPr="00DE59FA" w:rsidRDefault="0094383C" w:rsidP="00DE59FA">
            <w:pPr>
              <w:rPr>
                <w:rFonts w:ascii="Calibri" w:hAnsi="Calibri" w:cs="Calibri"/>
                <w:color w:val="000000"/>
                <w:lang w:val="en-US" w:eastAsia="en-US"/>
              </w:rPr>
            </w:pPr>
            <w:r w:rsidRPr="00DE59FA">
              <w:rPr>
                <w:rFonts w:ascii="Calibri" w:hAnsi="Calibri" w:cs="Calibri"/>
                <w:color w:val="000000"/>
                <w:sz w:val="22"/>
                <w:szCs w:val="22"/>
                <w:lang w:val="en-US" w:eastAsia="en-US"/>
              </w:rPr>
              <w:t>Kendi hesabına çalışan</w:t>
            </w:r>
          </w:p>
        </w:tc>
        <w:tc>
          <w:tcPr>
            <w:tcW w:w="1080" w:type="dxa"/>
            <w:tcBorders>
              <w:top w:val="single" w:sz="4" w:space="0" w:color="BFBFBF"/>
            </w:tcBorders>
            <w:noWrap/>
            <w:vAlign w:val="bottom"/>
          </w:tcPr>
          <w:p w:rsidR="0094383C" w:rsidRPr="00DE59FA" w:rsidRDefault="0094383C" w:rsidP="00DE59FA">
            <w:pPr>
              <w:rPr>
                <w:rFonts w:ascii="Calibri" w:hAnsi="Calibri" w:cs="Calibri"/>
                <w:color w:val="000000"/>
                <w:lang w:val="en-US" w:eastAsia="en-US"/>
              </w:rPr>
            </w:pPr>
            <w:r w:rsidRPr="00DE59FA">
              <w:rPr>
                <w:rFonts w:ascii="Calibri" w:hAnsi="Calibri" w:cs="Calibri"/>
                <w:color w:val="000000"/>
                <w:sz w:val="22"/>
                <w:szCs w:val="22"/>
                <w:lang w:val="en-US" w:eastAsia="en-US"/>
              </w:rPr>
              <w:t>Ücretsiz aile işçisi</w:t>
            </w:r>
          </w:p>
        </w:tc>
        <w:tc>
          <w:tcPr>
            <w:tcW w:w="1080" w:type="dxa"/>
            <w:tcBorders>
              <w:top w:val="single" w:sz="4" w:space="0" w:color="BFBFBF"/>
            </w:tcBorders>
            <w:noWrap/>
            <w:vAlign w:val="bottom"/>
          </w:tcPr>
          <w:p w:rsidR="0094383C" w:rsidRPr="00DE59FA" w:rsidRDefault="0094383C" w:rsidP="00DE59FA">
            <w:pPr>
              <w:rPr>
                <w:rFonts w:ascii="Calibri" w:hAnsi="Calibri" w:cs="Calibri"/>
                <w:color w:val="000000"/>
                <w:lang w:val="en-US" w:eastAsia="en-US"/>
              </w:rPr>
            </w:pPr>
            <w:r w:rsidRPr="00DE59FA">
              <w:rPr>
                <w:rFonts w:ascii="Calibri" w:hAnsi="Calibri" w:cs="Calibri"/>
                <w:color w:val="000000"/>
                <w:sz w:val="22"/>
                <w:szCs w:val="22"/>
                <w:lang w:val="en-US" w:eastAsia="en-US"/>
              </w:rPr>
              <w:t>Toplam</w:t>
            </w:r>
          </w:p>
        </w:tc>
      </w:tr>
      <w:tr w:rsidR="0094383C" w:rsidRPr="00DE59FA">
        <w:trPr>
          <w:trHeight w:val="300"/>
        </w:trPr>
        <w:tc>
          <w:tcPr>
            <w:tcW w:w="1908" w:type="dxa"/>
            <w:noWrap/>
            <w:vAlign w:val="bottom"/>
          </w:tcPr>
          <w:p w:rsidR="0094383C" w:rsidRPr="00DE59FA" w:rsidRDefault="0094383C" w:rsidP="006B5416">
            <w:pPr>
              <w:rPr>
                <w:rFonts w:ascii="Calibri" w:hAnsi="Calibri" w:cs="Calibri"/>
                <w:color w:val="000000"/>
                <w:lang w:val="en-US" w:eastAsia="en-US"/>
              </w:rPr>
            </w:pPr>
            <w:r w:rsidRPr="00DE59FA">
              <w:rPr>
                <w:rFonts w:ascii="Calibri" w:hAnsi="Calibri" w:cs="Calibri"/>
                <w:color w:val="000000"/>
                <w:sz w:val="22"/>
                <w:szCs w:val="22"/>
                <w:lang w:val="en-US" w:eastAsia="en-US"/>
              </w:rPr>
              <w:t>2004</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55.7</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23.6</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1.7</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7.4</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11.7</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100</w:t>
            </w:r>
          </w:p>
        </w:tc>
      </w:tr>
      <w:tr w:rsidR="0094383C" w:rsidRPr="00DE59FA">
        <w:trPr>
          <w:trHeight w:val="300"/>
        </w:trPr>
        <w:tc>
          <w:tcPr>
            <w:tcW w:w="1908" w:type="dxa"/>
            <w:noWrap/>
            <w:vAlign w:val="bottom"/>
          </w:tcPr>
          <w:p w:rsidR="0094383C" w:rsidRPr="00DE59FA" w:rsidRDefault="0094383C" w:rsidP="006B5416">
            <w:pPr>
              <w:rPr>
                <w:rFonts w:ascii="Calibri" w:hAnsi="Calibri" w:cs="Calibri"/>
                <w:color w:val="000000"/>
                <w:lang w:val="en-US" w:eastAsia="en-US"/>
              </w:rPr>
            </w:pPr>
            <w:r w:rsidRPr="00DE59FA">
              <w:rPr>
                <w:rFonts w:ascii="Calibri" w:hAnsi="Calibri" w:cs="Calibri"/>
                <w:color w:val="000000"/>
                <w:sz w:val="22"/>
                <w:szCs w:val="22"/>
                <w:lang w:val="en-US" w:eastAsia="en-US"/>
              </w:rPr>
              <w:t>2005</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55.2</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23.9</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1.5</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9.4</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10.0</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100</w:t>
            </w:r>
          </w:p>
        </w:tc>
      </w:tr>
      <w:tr w:rsidR="0094383C" w:rsidRPr="00DE59FA">
        <w:trPr>
          <w:trHeight w:val="300"/>
        </w:trPr>
        <w:tc>
          <w:tcPr>
            <w:tcW w:w="1908" w:type="dxa"/>
            <w:noWrap/>
            <w:vAlign w:val="bottom"/>
          </w:tcPr>
          <w:p w:rsidR="0094383C" w:rsidRPr="00DE59FA" w:rsidRDefault="0094383C" w:rsidP="006B5416">
            <w:pPr>
              <w:rPr>
                <w:rFonts w:ascii="Calibri" w:hAnsi="Calibri" w:cs="Calibri"/>
                <w:color w:val="000000"/>
                <w:lang w:val="en-US" w:eastAsia="en-US"/>
              </w:rPr>
            </w:pPr>
            <w:r w:rsidRPr="00DE59FA">
              <w:rPr>
                <w:rFonts w:ascii="Calibri" w:hAnsi="Calibri" w:cs="Calibri"/>
                <w:color w:val="000000"/>
                <w:sz w:val="22"/>
                <w:szCs w:val="22"/>
                <w:lang w:val="en-US" w:eastAsia="en-US"/>
              </w:rPr>
              <w:t>2006</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56.5</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24.1</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2.1</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8.5</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8.8</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100</w:t>
            </w:r>
          </w:p>
        </w:tc>
      </w:tr>
      <w:tr w:rsidR="0094383C" w:rsidRPr="00DE59FA">
        <w:trPr>
          <w:trHeight w:val="300"/>
        </w:trPr>
        <w:tc>
          <w:tcPr>
            <w:tcW w:w="1908" w:type="dxa"/>
            <w:noWrap/>
            <w:vAlign w:val="bottom"/>
          </w:tcPr>
          <w:p w:rsidR="0094383C" w:rsidRPr="00DE59FA" w:rsidRDefault="0094383C" w:rsidP="006B5416">
            <w:pPr>
              <w:rPr>
                <w:rFonts w:ascii="Calibri" w:hAnsi="Calibri" w:cs="Calibri"/>
                <w:color w:val="000000"/>
                <w:lang w:val="en-US" w:eastAsia="en-US"/>
              </w:rPr>
            </w:pPr>
            <w:r w:rsidRPr="00DE59FA">
              <w:rPr>
                <w:rFonts w:ascii="Calibri" w:hAnsi="Calibri" w:cs="Calibri"/>
                <w:color w:val="000000"/>
                <w:sz w:val="22"/>
                <w:szCs w:val="22"/>
                <w:lang w:val="en-US" w:eastAsia="en-US"/>
              </w:rPr>
              <w:t>2007</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60.0</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23.0</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2.2</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6.8</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8.1</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100</w:t>
            </w:r>
          </w:p>
        </w:tc>
      </w:tr>
      <w:tr w:rsidR="0094383C" w:rsidRPr="00DE59FA">
        <w:trPr>
          <w:trHeight w:val="300"/>
        </w:trPr>
        <w:tc>
          <w:tcPr>
            <w:tcW w:w="1908" w:type="dxa"/>
            <w:noWrap/>
            <w:vAlign w:val="bottom"/>
          </w:tcPr>
          <w:p w:rsidR="0094383C" w:rsidRPr="00DE59FA" w:rsidRDefault="0094383C" w:rsidP="006B5416">
            <w:pPr>
              <w:rPr>
                <w:rFonts w:ascii="Calibri" w:hAnsi="Calibri" w:cs="Calibri"/>
                <w:color w:val="000000"/>
                <w:lang w:val="en-US" w:eastAsia="en-US"/>
              </w:rPr>
            </w:pPr>
            <w:r w:rsidRPr="00DE59FA">
              <w:rPr>
                <w:rFonts w:ascii="Calibri" w:hAnsi="Calibri" w:cs="Calibri"/>
                <w:color w:val="000000"/>
                <w:sz w:val="22"/>
                <w:szCs w:val="22"/>
                <w:lang w:val="en-US" w:eastAsia="en-US"/>
              </w:rPr>
              <w:t>2008</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62.7</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20.0</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2.2</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7.2</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7.9</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100</w:t>
            </w:r>
          </w:p>
        </w:tc>
      </w:tr>
      <w:tr w:rsidR="0094383C" w:rsidRPr="00DE59FA">
        <w:trPr>
          <w:trHeight w:val="300"/>
        </w:trPr>
        <w:tc>
          <w:tcPr>
            <w:tcW w:w="1908" w:type="dxa"/>
            <w:noWrap/>
            <w:vAlign w:val="bottom"/>
          </w:tcPr>
          <w:p w:rsidR="0094383C" w:rsidRPr="00DE59FA" w:rsidRDefault="0094383C" w:rsidP="006B5416">
            <w:pPr>
              <w:rPr>
                <w:rFonts w:ascii="Calibri" w:hAnsi="Calibri" w:cs="Calibri"/>
                <w:color w:val="000000"/>
                <w:lang w:val="en-US" w:eastAsia="en-US"/>
              </w:rPr>
            </w:pPr>
            <w:r w:rsidRPr="00DE59FA">
              <w:rPr>
                <w:rFonts w:ascii="Calibri" w:hAnsi="Calibri" w:cs="Calibri"/>
                <w:color w:val="000000"/>
                <w:sz w:val="22"/>
                <w:szCs w:val="22"/>
                <w:lang w:val="en-US" w:eastAsia="en-US"/>
              </w:rPr>
              <w:t>2009</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60.9</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18.8</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2.1</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10.2</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8.1</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100</w:t>
            </w:r>
          </w:p>
        </w:tc>
      </w:tr>
      <w:tr w:rsidR="0094383C" w:rsidRPr="00DE59FA">
        <w:trPr>
          <w:trHeight w:val="300"/>
        </w:trPr>
        <w:tc>
          <w:tcPr>
            <w:tcW w:w="1908" w:type="dxa"/>
            <w:noWrap/>
            <w:vAlign w:val="bottom"/>
          </w:tcPr>
          <w:p w:rsidR="0094383C" w:rsidRPr="00DE59FA" w:rsidRDefault="0094383C" w:rsidP="006B5416">
            <w:pPr>
              <w:rPr>
                <w:rFonts w:ascii="Calibri" w:hAnsi="Calibri" w:cs="Calibri"/>
                <w:color w:val="000000"/>
                <w:lang w:val="en-US" w:eastAsia="en-US"/>
              </w:rPr>
            </w:pPr>
            <w:r w:rsidRPr="00DE59FA">
              <w:rPr>
                <w:rFonts w:ascii="Calibri" w:hAnsi="Calibri" w:cs="Calibri"/>
                <w:color w:val="000000"/>
                <w:sz w:val="22"/>
                <w:szCs w:val="22"/>
                <w:lang w:val="en-US" w:eastAsia="en-US"/>
              </w:rPr>
              <w:t>2010</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60.4</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17.8</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2.0</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11.1</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8.8</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100</w:t>
            </w:r>
          </w:p>
        </w:tc>
      </w:tr>
      <w:tr w:rsidR="0094383C" w:rsidRPr="00DE59FA">
        <w:trPr>
          <w:trHeight w:val="300"/>
        </w:trPr>
        <w:tc>
          <w:tcPr>
            <w:tcW w:w="1908" w:type="dxa"/>
            <w:noWrap/>
            <w:vAlign w:val="bottom"/>
          </w:tcPr>
          <w:p w:rsidR="0094383C" w:rsidRPr="00DE59FA" w:rsidRDefault="0094383C" w:rsidP="006B5416">
            <w:pPr>
              <w:rPr>
                <w:rFonts w:ascii="Calibri" w:hAnsi="Calibri" w:cs="Calibri"/>
                <w:color w:val="000000"/>
                <w:lang w:val="en-US" w:eastAsia="en-US"/>
              </w:rPr>
            </w:pPr>
            <w:r w:rsidRPr="00DE59FA">
              <w:rPr>
                <w:rFonts w:ascii="Calibri" w:hAnsi="Calibri" w:cs="Calibri"/>
                <w:color w:val="000000"/>
                <w:sz w:val="22"/>
                <w:szCs w:val="22"/>
                <w:lang w:val="en-US" w:eastAsia="en-US"/>
              </w:rPr>
              <w:t>2011</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61.3</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18.0</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1.9</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9.9</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8.8</w:t>
            </w:r>
          </w:p>
        </w:tc>
        <w:tc>
          <w:tcPr>
            <w:tcW w:w="1080" w:type="dxa"/>
            <w:noWrap/>
            <w:vAlign w:val="bottom"/>
          </w:tcPr>
          <w:p w:rsidR="0094383C" w:rsidRPr="00DE59FA" w:rsidRDefault="0094383C" w:rsidP="00DE59FA">
            <w:pPr>
              <w:jc w:val="right"/>
              <w:rPr>
                <w:rFonts w:ascii="Calibri" w:hAnsi="Calibri" w:cs="Calibri"/>
                <w:color w:val="000000"/>
                <w:lang w:val="en-US" w:eastAsia="en-US"/>
              </w:rPr>
            </w:pPr>
            <w:r w:rsidRPr="00DE59FA">
              <w:rPr>
                <w:rFonts w:ascii="Calibri" w:hAnsi="Calibri" w:cs="Calibri"/>
                <w:color w:val="000000"/>
                <w:sz w:val="22"/>
                <w:szCs w:val="22"/>
                <w:lang w:val="en-US" w:eastAsia="en-US"/>
              </w:rPr>
              <w:t>100</w:t>
            </w:r>
          </w:p>
        </w:tc>
      </w:tr>
      <w:tr w:rsidR="0094383C" w:rsidRPr="00DE59FA">
        <w:trPr>
          <w:trHeight w:val="300"/>
        </w:trPr>
        <w:tc>
          <w:tcPr>
            <w:tcW w:w="1908" w:type="dxa"/>
            <w:tcBorders>
              <w:bottom w:val="single" w:sz="4" w:space="0" w:color="BFBFBF"/>
            </w:tcBorders>
            <w:noWrap/>
            <w:vAlign w:val="bottom"/>
          </w:tcPr>
          <w:p w:rsidR="0094383C" w:rsidRPr="00194837" w:rsidRDefault="0094383C" w:rsidP="0089434A">
            <w:pPr>
              <w:rPr>
                <w:rFonts w:ascii="Calibri" w:hAnsi="Calibri" w:cs="Calibri"/>
                <w:b/>
                <w:bCs/>
                <w:color w:val="000000"/>
                <w:lang w:val="en-US" w:eastAsia="en-US"/>
              </w:rPr>
            </w:pPr>
            <w:r w:rsidRPr="00194837">
              <w:rPr>
                <w:rFonts w:ascii="Calibri" w:hAnsi="Calibri" w:cs="Calibri"/>
                <w:b/>
                <w:bCs/>
                <w:color w:val="000000"/>
                <w:sz w:val="22"/>
                <w:szCs w:val="22"/>
                <w:lang w:val="en-US" w:eastAsia="en-US"/>
              </w:rPr>
              <w:t>2004 – 2011 farkı</w:t>
            </w:r>
          </w:p>
          <w:p w:rsidR="0094383C" w:rsidRPr="00F77F35" w:rsidRDefault="0094383C" w:rsidP="0089434A">
            <w:pPr>
              <w:rPr>
                <w:rFonts w:ascii="Calibri" w:hAnsi="Calibri" w:cs="Calibri"/>
                <w:color w:val="000000"/>
                <w:highlight w:val="yellow"/>
                <w:lang w:val="en-US" w:eastAsia="en-US"/>
              </w:rPr>
            </w:pPr>
            <w:r w:rsidRPr="00194837">
              <w:rPr>
                <w:rFonts w:ascii="Calibri" w:hAnsi="Calibri" w:cs="Calibri"/>
                <w:b/>
                <w:bCs/>
                <w:color w:val="000000"/>
                <w:sz w:val="22"/>
                <w:szCs w:val="22"/>
                <w:lang w:val="en-US" w:eastAsia="en-US"/>
              </w:rPr>
              <w:t>(yüzde puan)</w:t>
            </w:r>
          </w:p>
        </w:tc>
        <w:tc>
          <w:tcPr>
            <w:tcW w:w="1080" w:type="dxa"/>
            <w:tcBorders>
              <w:bottom w:val="single" w:sz="4" w:space="0" w:color="BFBFBF"/>
            </w:tcBorders>
            <w:noWrap/>
            <w:vAlign w:val="bottom"/>
          </w:tcPr>
          <w:p w:rsidR="0094383C" w:rsidRPr="005460EA" w:rsidRDefault="0094383C" w:rsidP="00DE59FA">
            <w:pPr>
              <w:jc w:val="right"/>
              <w:rPr>
                <w:rFonts w:ascii="Calibri" w:hAnsi="Calibri" w:cs="Calibri"/>
                <w:color w:val="000000"/>
                <w:lang w:val="en-US" w:eastAsia="en-US"/>
              </w:rPr>
            </w:pPr>
            <w:r w:rsidRPr="005460EA">
              <w:rPr>
                <w:rFonts w:ascii="Calibri" w:hAnsi="Calibri" w:cs="Calibri"/>
                <w:color w:val="000000"/>
                <w:sz w:val="22"/>
                <w:szCs w:val="22"/>
                <w:lang w:val="en-US" w:eastAsia="en-US"/>
              </w:rPr>
              <w:t>5.7</w:t>
            </w:r>
          </w:p>
        </w:tc>
        <w:tc>
          <w:tcPr>
            <w:tcW w:w="1080" w:type="dxa"/>
            <w:tcBorders>
              <w:bottom w:val="single" w:sz="4" w:space="0" w:color="BFBFBF"/>
            </w:tcBorders>
            <w:noWrap/>
            <w:vAlign w:val="bottom"/>
          </w:tcPr>
          <w:p w:rsidR="0094383C" w:rsidRPr="005460EA" w:rsidRDefault="0094383C" w:rsidP="00DE59FA">
            <w:pPr>
              <w:jc w:val="right"/>
              <w:rPr>
                <w:rFonts w:ascii="Calibri" w:hAnsi="Calibri" w:cs="Calibri"/>
                <w:color w:val="000000"/>
                <w:lang w:val="en-US" w:eastAsia="en-US"/>
              </w:rPr>
            </w:pPr>
            <w:r w:rsidRPr="005460EA">
              <w:rPr>
                <w:rFonts w:ascii="Calibri" w:hAnsi="Calibri" w:cs="Calibri"/>
                <w:color w:val="000000"/>
                <w:sz w:val="22"/>
                <w:szCs w:val="22"/>
                <w:lang w:val="en-US" w:eastAsia="en-US"/>
              </w:rPr>
              <w:t>-5.6</w:t>
            </w:r>
          </w:p>
        </w:tc>
        <w:tc>
          <w:tcPr>
            <w:tcW w:w="1080" w:type="dxa"/>
            <w:tcBorders>
              <w:bottom w:val="single" w:sz="4" w:space="0" w:color="BFBFBF"/>
            </w:tcBorders>
            <w:noWrap/>
            <w:vAlign w:val="bottom"/>
          </w:tcPr>
          <w:p w:rsidR="0094383C" w:rsidRPr="005460EA" w:rsidRDefault="0094383C" w:rsidP="00DE59FA">
            <w:pPr>
              <w:jc w:val="right"/>
              <w:rPr>
                <w:rFonts w:ascii="Calibri" w:hAnsi="Calibri" w:cs="Calibri"/>
                <w:color w:val="000000"/>
                <w:lang w:val="en-US" w:eastAsia="en-US"/>
              </w:rPr>
            </w:pPr>
            <w:r w:rsidRPr="005460EA">
              <w:rPr>
                <w:rFonts w:ascii="Calibri" w:hAnsi="Calibri" w:cs="Calibri"/>
                <w:color w:val="000000"/>
                <w:sz w:val="22"/>
                <w:szCs w:val="22"/>
                <w:lang w:val="en-US" w:eastAsia="en-US"/>
              </w:rPr>
              <w:t>0.3</w:t>
            </w:r>
          </w:p>
        </w:tc>
        <w:tc>
          <w:tcPr>
            <w:tcW w:w="1080" w:type="dxa"/>
            <w:tcBorders>
              <w:bottom w:val="single" w:sz="4" w:space="0" w:color="BFBFBF"/>
            </w:tcBorders>
            <w:noWrap/>
            <w:vAlign w:val="bottom"/>
          </w:tcPr>
          <w:p w:rsidR="0094383C" w:rsidRPr="005460EA" w:rsidRDefault="0094383C" w:rsidP="00DE59FA">
            <w:pPr>
              <w:jc w:val="right"/>
              <w:rPr>
                <w:rFonts w:ascii="Calibri" w:hAnsi="Calibri" w:cs="Calibri"/>
                <w:color w:val="000000"/>
                <w:lang w:val="en-US" w:eastAsia="en-US"/>
              </w:rPr>
            </w:pPr>
            <w:r w:rsidRPr="005460EA">
              <w:rPr>
                <w:rFonts w:ascii="Calibri" w:hAnsi="Calibri" w:cs="Calibri"/>
                <w:color w:val="000000"/>
                <w:sz w:val="22"/>
                <w:szCs w:val="22"/>
                <w:lang w:val="en-US" w:eastAsia="en-US"/>
              </w:rPr>
              <w:t>2.6</w:t>
            </w:r>
          </w:p>
        </w:tc>
        <w:tc>
          <w:tcPr>
            <w:tcW w:w="1080" w:type="dxa"/>
            <w:tcBorders>
              <w:bottom w:val="single" w:sz="4" w:space="0" w:color="BFBFBF"/>
            </w:tcBorders>
            <w:noWrap/>
            <w:vAlign w:val="bottom"/>
          </w:tcPr>
          <w:p w:rsidR="0094383C" w:rsidRPr="005460EA" w:rsidRDefault="0094383C" w:rsidP="00DE59FA">
            <w:pPr>
              <w:jc w:val="right"/>
              <w:rPr>
                <w:rFonts w:ascii="Calibri" w:hAnsi="Calibri" w:cs="Calibri"/>
                <w:color w:val="000000"/>
                <w:lang w:val="en-US" w:eastAsia="en-US"/>
              </w:rPr>
            </w:pPr>
            <w:r w:rsidRPr="005460EA">
              <w:rPr>
                <w:rFonts w:ascii="Calibri" w:hAnsi="Calibri" w:cs="Calibri"/>
                <w:color w:val="000000"/>
                <w:sz w:val="22"/>
                <w:szCs w:val="22"/>
                <w:lang w:val="en-US" w:eastAsia="en-US"/>
              </w:rPr>
              <w:t>-2.9</w:t>
            </w:r>
          </w:p>
        </w:tc>
        <w:tc>
          <w:tcPr>
            <w:tcW w:w="1080" w:type="dxa"/>
            <w:tcBorders>
              <w:bottom w:val="single" w:sz="4" w:space="0" w:color="BFBFBF"/>
            </w:tcBorders>
            <w:noWrap/>
            <w:vAlign w:val="bottom"/>
          </w:tcPr>
          <w:p w:rsidR="0094383C" w:rsidRPr="005460EA" w:rsidRDefault="0094383C" w:rsidP="00DE59FA">
            <w:pPr>
              <w:rPr>
                <w:rFonts w:ascii="Calibri" w:hAnsi="Calibri" w:cs="Calibri"/>
                <w:color w:val="000000"/>
                <w:lang w:val="en-US" w:eastAsia="en-US"/>
              </w:rPr>
            </w:pPr>
          </w:p>
        </w:tc>
      </w:tr>
    </w:tbl>
    <w:p w:rsidR="0094383C" w:rsidRDefault="0094383C" w:rsidP="00F81DC0">
      <w:pPr>
        <w:rPr>
          <w:rFonts w:ascii="Arial" w:hAnsi="Arial" w:cs="Arial"/>
          <w:sz w:val="20"/>
          <w:szCs w:val="20"/>
        </w:rPr>
      </w:pPr>
    </w:p>
    <w:p w:rsidR="0094383C" w:rsidRDefault="0094383C">
      <w:pPr>
        <w:rPr>
          <w:rFonts w:ascii="Arial" w:hAnsi="Arial" w:cs="Arial"/>
          <w:b/>
          <w:bCs/>
          <w:sz w:val="22"/>
          <w:szCs w:val="22"/>
        </w:rPr>
      </w:pPr>
    </w:p>
    <w:p w:rsidR="00C6391C" w:rsidRDefault="00C6391C">
      <w:pPr>
        <w:rPr>
          <w:rFonts w:ascii="Arial" w:hAnsi="Arial" w:cs="Arial"/>
          <w:b/>
          <w:bCs/>
          <w:sz w:val="22"/>
          <w:szCs w:val="22"/>
        </w:rPr>
      </w:pPr>
    </w:p>
    <w:p w:rsidR="00C6391C" w:rsidRDefault="00C6391C">
      <w:pPr>
        <w:rPr>
          <w:rFonts w:ascii="Arial" w:hAnsi="Arial" w:cs="Arial"/>
          <w:b/>
          <w:bCs/>
          <w:sz w:val="22"/>
          <w:szCs w:val="22"/>
        </w:rPr>
      </w:pPr>
    </w:p>
    <w:p w:rsidR="00C6391C" w:rsidRDefault="00C6391C">
      <w:pPr>
        <w:rPr>
          <w:rFonts w:ascii="Arial" w:hAnsi="Arial" w:cs="Arial"/>
          <w:b/>
          <w:bCs/>
          <w:sz w:val="22"/>
          <w:szCs w:val="22"/>
        </w:rPr>
      </w:pPr>
    </w:p>
    <w:p w:rsidR="0094383C" w:rsidRPr="005F1831" w:rsidRDefault="0094383C">
      <w:pPr>
        <w:rPr>
          <w:rFonts w:ascii="Arial" w:hAnsi="Arial" w:cs="Arial"/>
          <w:b/>
          <w:bCs/>
          <w:sz w:val="22"/>
          <w:szCs w:val="22"/>
        </w:rPr>
      </w:pPr>
      <w:r w:rsidRPr="005F1831">
        <w:rPr>
          <w:rFonts w:ascii="Arial" w:hAnsi="Arial" w:cs="Arial"/>
          <w:b/>
          <w:bCs/>
          <w:sz w:val="22"/>
          <w:szCs w:val="22"/>
        </w:rPr>
        <w:lastRenderedPageBreak/>
        <w:t>Sonuç</w:t>
      </w:r>
    </w:p>
    <w:p w:rsidR="0094383C" w:rsidRDefault="0094383C">
      <w:pPr>
        <w:rPr>
          <w:rFonts w:ascii="Arial" w:hAnsi="Arial" w:cs="Arial"/>
          <w:sz w:val="20"/>
          <w:szCs w:val="20"/>
        </w:rPr>
      </w:pPr>
    </w:p>
    <w:p w:rsidR="0094383C" w:rsidRDefault="0094383C">
      <w:pPr>
        <w:rPr>
          <w:rFonts w:ascii="Arial" w:hAnsi="Arial" w:cs="Arial"/>
          <w:sz w:val="20"/>
          <w:szCs w:val="20"/>
        </w:rPr>
      </w:pPr>
      <w:r>
        <w:rPr>
          <w:rFonts w:ascii="Arial" w:hAnsi="Arial" w:cs="Arial"/>
          <w:sz w:val="20"/>
          <w:szCs w:val="20"/>
        </w:rPr>
        <w:t xml:space="preserve">Son günlerde gündemde olan yaşlanmakta olan nüfus ve bu durumun getireceği sorunlar genelde doğurganlık ve çocuk sayısı eksenlerinde tartışılmaktadır. Hâlbuki yaşlanan nüfusun getirdiği sorunlarla baş etmenin yollarından biri çalışan nüfusta </w:t>
      </w:r>
      <w:r w:rsidRPr="00872D56">
        <w:rPr>
          <w:rFonts w:ascii="Arial" w:hAnsi="Arial" w:cs="Arial"/>
          <w:sz w:val="20"/>
          <w:szCs w:val="20"/>
        </w:rPr>
        <w:t>mevcut eğilimden daha hızlı</w:t>
      </w:r>
      <w:r>
        <w:rPr>
          <w:rFonts w:ascii="Arial" w:hAnsi="Arial" w:cs="Arial"/>
          <w:sz w:val="20"/>
          <w:szCs w:val="20"/>
        </w:rPr>
        <w:t xml:space="preserve"> artış sağlamaktır. Uzun yıllardır Türkiye’nin en büyük yapısal sorunlarından biri olan kadın işgücüne katılım oranlarının düşüklüğü Türkiye’ye bu politika ekseninde önemli bir alan açmaktadır. Çalışabilir nüfusun sadece yarısı işgücü piyasasında olmasından hareketle kadın işgücüne katılım oranlarının artırılması yaşlanan nüfusa işgücü piyasasında çalışarak bakabilecek nüfusun artırılması demektir.  </w:t>
      </w:r>
    </w:p>
    <w:p w:rsidR="0094383C" w:rsidRDefault="0094383C">
      <w:pPr>
        <w:rPr>
          <w:rFonts w:ascii="Arial" w:hAnsi="Arial" w:cs="Arial"/>
          <w:sz w:val="20"/>
          <w:szCs w:val="20"/>
        </w:rPr>
      </w:pPr>
    </w:p>
    <w:p w:rsidR="00821ACA" w:rsidRDefault="0094383C">
      <w:pPr>
        <w:rPr>
          <w:rFonts w:ascii="Arial" w:hAnsi="Arial" w:cs="Arial"/>
          <w:sz w:val="20"/>
          <w:szCs w:val="20"/>
        </w:rPr>
      </w:pPr>
      <w:r>
        <w:rPr>
          <w:rFonts w:ascii="Arial" w:hAnsi="Arial" w:cs="Arial"/>
          <w:sz w:val="20"/>
          <w:szCs w:val="20"/>
        </w:rPr>
        <w:t xml:space="preserve">Bu bağlamda kentlerde 2004 </w:t>
      </w:r>
      <w:r w:rsidRPr="00A02422">
        <w:rPr>
          <w:rFonts w:ascii="Arial" w:hAnsi="Arial" w:cs="Arial"/>
          <w:sz w:val="20"/>
          <w:szCs w:val="20"/>
        </w:rPr>
        <w:t xml:space="preserve">– 2011 yılları arasında </w:t>
      </w:r>
      <w:r>
        <w:rPr>
          <w:rFonts w:ascii="Arial" w:hAnsi="Arial" w:cs="Arial"/>
          <w:sz w:val="20"/>
          <w:szCs w:val="20"/>
        </w:rPr>
        <w:t xml:space="preserve">kentlerde gözlemlenen </w:t>
      </w:r>
      <w:r w:rsidRPr="00A02422">
        <w:rPr>
          <w:rFonts w:ascii="Arial" w:hAnsi="Arial" w:cs="Arial"/>
          <w:sz w:val="20"/>
          <w:szCs w:val="20"/>
        </w:rPr>
        <w:t xml:space="preserve">kadın işgücüne katılım </w:t>
      </w:r>
      <w:r>
        <w:rPr>
          <w:rFonts w:ascii="Arial" w:hAnsi="Arial" w:cs="Arial"/>
          <w:sz w:val="20"/>
          <w:szCs w:val="20"/>
        </w:rPr>
        <w:t>oranlarındaki hızlı artış önemli ipuçları içermektedir.</w:t>
      </w:r>
      <w:r w:rsidRPr="00A02422">
        <w:rPr>
          <w:rFonts w:ascii="Arial" w:hAnsi="Arial" w:cs="Arial"/>
          <w:sz w:val="20"/>
          <w:szCs w:val="20"/>
        </w:rPr>
        <w:t xml:space="preserve"> </w:t>
      </w:r>
      <w:r>
        <w:rPr>
          <w:rFonts w:ascii="Arial" w:hAnsi="Arial" w:cs="Arial"/>
          <w:sz w:val="20"/>
          <w:szCs w:val="20"/>
        </w:rPr>
        <w:t xml:space="preserve">Eğitim, ilk evlilik ve ilk doğum yaşı, evlilik durumu gibi yapısal özelliklerin etkileri dikkate alındığında bile söz konusu dönemde kadın işgücüne katılım oranında önemli bir artış ortaya çıkmaktadır. Bunun yanı sıra bölgesel farklılıklar </w:t>
      </w:r>
      <w:r w:rsidRPr="00872D56">
        <w:rPr>
          <w:rFonts w:ascii="Arial" w:hAnsi="Arial" w:cs="Arial"/>
          <w:sz w:val="20"/>
          <w:szCs w:val="20"/>
        </w:rPr>
        <w:t>muhafazakarlık-modernlik bağlamında</w:t>
      </w:r>
      <w:r>
        <w:rPr>
          <w:rFonts w:ascii="Arial" w:hAnsi="Arial" w:cs="Arial"/>
          <w:sz w:val="20"/>
          <w:szCs w:val="20"/>
        </w:rPr>
        <w:t xml:space="preserve"> kültürel farklılıklara işaret etmektedir. Bu bulguyu destekler şekilde kalabalık hanelerde kadınların işgücüne katılımının olumsuz etkilendiği görülmektedir. </w:t>
      </w:r>
    </w:p>
    <w:p w:rsidR="00821ACA" w:rsidRDefault="00821ACA">
      <w:pPr>
        <w:rPr>
          <w:rFonts w:ascii="Arial" w:hAnsi="Arial" w:cs="Arial"/>
          <w:sz w:val="20"/>
          <w:szCs w:val="20"/>
        </w:rPr>
      </w:pPr>
    </w:p>
    <w:p w:rsidR="0094383C" w:rsidRDefault="00821ACA">
      <w:pPr>
        <w:rPr>
          <w:rFonts w:ascii="Arial" w:hAnsi="Arial" w:cs="Arial"/>
          <w:sz w:val="20"/>
          <w:szCs w:val="20"/>
        </w:rPr>
      </w:pPr>
      <w:r>
        <w:rPr>
          <w:rFonts w:ascii="Arial" w:hAnsi="Arial" w:cs="Arial"/>
          <w:sz w:val="20"/>
          <w:szCs w:val="20"/>
        </w:rPr>
        <w:t>Buna karşın k</w:t>
      </w:r>
      <w:r w:rsidR="0094383C">
        <w:rPr>
          <w:rFonts w:ascii="Arial" w:hAnsi="Arial" w:cs="Arial"/>
          <w:sz w:val="20"/>
          <w:szCs w:val="20"/>
        </w:rPr>
        <w:t xml:space="preserve">adın katılımındaki artış özellikle düşük eğitimli kadınlarda gerçekleşmiştir. Bu ipuçlarından hareketle son dönemde hızlanan kadın katılım oranlarındaki artışın daha ayrıntılı araştırılması büyük önem taşımaktadır.  </w:t>
      </w:r>
    </w:p>
    <w:p w:rsidR="0094383C" w:rsidRDefault="0094383C">
      <w:pPr>
        <w:rPr>
          <w:rFonts w:ascii="Arial" w:hAnsi="Arial" w:cs="Arial"/>
          <w:sz w:val="20"/>
          <w:szCs w:val="20"/>
          <w:highlight w:val="green"/>
        </w:rPr>
      </w:pPr>
    </w:p>
    <w:p w:rsidR="0094383C" w:rsidRDefault="0094383C">
      <w:pPr>
        <w:rPr>
          <w:rFonts w:ascii="Arial" w:hAnsi="Arial" w:cs="Arial"/>
          <w:sz w:val="20"/>
          <w:szCs w:val="20"/>
        </w:rPr>
      </w:pPr>
      <w:r>
        <w:rPr>
          <w:rFonts w:ascii="Arial" w:hAnsi="Arial" w:cs="Arial"/>
          <w:sz w:val="20"/>
          <w:szCs w:val="20"/>
        </w:rPr>
        <w:t xml:space="preserve"> </w:t>
      </w:r>
    </w:p>
    <w:sectPr w:rsidR="0094383C" w:rsidSect="00DF7CB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917" w:rsidRDefault="00875917">
      <w:r>
        <w:separator/>
      </w:r>
    </w:p>
  </w:endnote>
  <w:endnote w:type="continuationSeparator" w:id="1">
    <w:p w:rsidR="00875917" w:rsidRDefault="00875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CB" w:rsidRDefault="002C6A36" w:rsidP="00F73662">
    <w:pPr>
      <w:pStyle w:val="Altbilgi"/>
      <w:framePr w:wrap="auto" w:vAnchor="text" w:hAnchor="margin" w:xAlign="right" w:y="1"/>
      <w:rPr>
        <w:rStyle w:val="SayfaNumaras"/>
      </w:rPr>
    </w:pPr>
    <w:r>
      <w:rPr>
        <w:rStyle w:val="SayfaNumaras"/>
      </w:rPr>
      <w:fldChar w:fldCharType="begin"/>
    </w:r>
    <w:r w:rsidR="00821CCB">
      <w:rPr>
        <w:rStyle w:val="SayfaNumaras"/>
      </w:rPr>
      <w:instrText xml:space="preserve">PAGE  </w:instrText>
    </w:r>
    <w:r>
      <w:rPr>
        <w:rStyle w:val="SayfaNumaras"/>
      </w:rPr>
      <w:fldChar w:fldCharType="separate"/>
    </w:r>
    <w:r w:rsidR="0045616A">
      <w:rPr>
        <w:rStyle w:val="SayfaNumaras"/>
        <w:noProof/>
      </w:rPr>
      <w:t>3</w:t>
    </w:r>
    <w:r>
      <w:rPr>
        <w:rStyle w:val="SayfaNumaras"/>
      </w:rPr>
      <w:fldChar w:fldCharType="end"/>
    </w:r>
  </w:p>
  <w:p w:rsidR="00821CCB" w:rsidRPr="005E3FCD" w:rsidRDefault="00821CCB" w:rsidP="00396F51">
    <w:pPr>
      <w:pStyle w:val="Altbilgi"/>
      <w:ind w:right="360"/>
      <w:jc w:val="center"/>
      <w:rPr>
        <w:rFonts w:ascii="Arial" w:hAnsi="Arial" w:cs="Arial"/>
        <w:i/>
        <w:iCs/>
        <w:color w:val="808080"/>
      </w:rPr>
    </w:pPr>
    <w:r w:rsidRPr="005E3FCD">
      <w:rPr>
        <w:rFonts w:ascii="Arial" w:hAnsi="Arial" w:cs="Arial"/>
        <w:i/>
        <w:iCs/>
        <w:color w:val="808080"/>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917" w:rsidRDefault="00875917">
      <w:r>
        <w:separator/>
      </w:r>
    </w:p>
  </w:footnote>
  <w:footnote w:type="continuationSeparator" w:id="1">
    <w:p w:rsidR="00875917" w:rsidRDefault="00875917">
      <w:r>
        <w:continuationSeparator/>
      </w:r>
    </w:p>
  </w:footnote>
  <w:footnote w:id="2">
    <w:p w:rsidR="00821CCB" w:rsidRDefault="00821CCB">
      <w:pPr>
        <w:pStyle w:val="DipnotMetni"/>
      </w:pPr>
      <w:r w:rsidRPr="001233A6">
        <w:rPr>
          <w:rStyle w:val="DipnotBavurusu"/>
          <w:rFonts w:ascii="Arial" w:hAnsi="Arial" w:cs="Arial"/>
        </w:rPr>
        <w:sym w:font="Symbol" w:char="F079"/>
      </w:r>
      <w:r w:rsidRPr="001233A6">
        <w:rPr>
          <w:rFonts w:ascii="Arial" w:hAnsi="Arial" w:cs="Arial"/>
        </w:rPr>
        <w:t xml:space="preserve"> </w:t>
      </w:r>
      <w:r>
        <w:rPr>
          <w:rFonts w:ascii="Arial" w:hAnsi="Arial" w:cs="Arial"/>
          <w:sz w:val="16"/>
          <w:szCs w:val="16"/>
        </w:rPr>
        <w:t xml:space="preserve">Veriyi hazırlamadaki yardımlarından dolayı Duygu Güner’e, yorumlarıyla analizi daha anlaşılır kılan Seyfettin Gürsel’e ve Zümrüt İmamoğlu’na teşekkür ederim. </w:t>
      </w:r>
    </w:p>
  </w:footnote>
  <w:footnote w:id="3">
    <w:p w:rsidR="00821CCB" w:rsidRDefault="00821CCB" w:rsidP="00E0413D">
      <w:pPr>
        <w:pStyle w:val="DipnotMetni"/>
      </w:pPr>
      <w:r w:rsidRPr="000322DB">
        <w:rPr>
          <w:rStyle w:val="DipnotBavurusu"/>
        </w:rPr>
        <w:sym w:font="Symbol" w:char="F02A"/>
      </w:r>
      <w:r>
        <w:t xml:space="preserve"> </w:t>
      </w:r>
      <w:r>
        <w:rPr>
          <w:rFonts w:ascii="Arial" w:hAnsi="Arial" w:cs="Arial"/>
          <w:sz w:val="16"/>
          <w:szCs w:val="16"/>
        </w:rPr>
        <w:t>Yrd. Doç. Dr. Gökçe Uysal-Kolaşin</w:t>
      </w:r>
      <w:r w:rsidRPr="00B40BDC">
        <w:rPr>
          <w:rFonts w:ascii="Arial" w:hAnsi="Arial" w:cs="Arial"/>
          <w:sz w:val="16"/>
          <w:szCs w:val="16"/>
        </w:rPr>
        <w:t>, Beta</w:t>
      </w:r>
      <w:r w:rsidRPr="002501CA">
        <w:rPr>
          <w:rFonts w:ascii="Arial" w:hAnsi="Arial" w:cs="Arial"/>
          <w:sz w:val="16"/>
          <w:szCs w:val="16"/>
        </w:rPr>
        <w:t xml:space="preserve">m, </w:t>
      </w:r>
      <w:hyperlink r:id="rId1" w:history="1">
        <w:r w:rsidRPr="009E6449">
          <w:rPr>
            <w:rStyle w:val="Kpr"/>
            <w:rFonts w:ascii="Arial" w:hAnsi="Arial" w:cs="Arial"/>
            <w:sz w:val="16"/>
            <w:szCs w:val="16"/>
          </w:rPr>
          <w:t>gokce.uysal@bahcesehir.edu.tr</w:t>
        </w:r>
      </w:hyperlink>
    </w:p>
  </w:footnote>
  <w:footnote w:id="4">
    <w:p w:rsidR="00821CCB" w:rsidRDefault="00821CCB">
      <w:pPr>
        <w:pStyle w:val="DipnotMetni"/>
        <w:rPr>
          <w:rFonts w:ascii="Arial" w:hAnsi="Arial" w:cs="Arial"/>
          <w:sz w:val="16"/>
          <w:szCs w:val="16"/>
        </w:rPr>
      </w:pPr>
      <w:r>
        <w:rPr>
          <w:rStyle w:val="DipnotBavurusu"/>
        </w:rPr>
        <w:footnoteRef/>
      </w:r>
      <w:r>
        <w:t xml:space="preserve"> </w:t>
      </w:r>
      <w:r>
        <w:rPr>
          <w:rFonts w:ascii="Arial" w:hAnsi="Arial" w:cs="Arial"/>
          <w:sz w:val="16"/>
          <w:szCs w:val="16"/>
        </w:rPr>
        <w:t xml:space="preserve">Tansel, A., “Economic development and female labor force participation in Turkey: Time series evidence and cross-province estimates”, ERC Working Papers 0105, 2001. </w:t>
      </w:r>
    </w:p>
    <w:p w:rsidR="00821CCB" w:rsidRDefault="00821CCB">
      <w:pPr>
        <w:pStyle w:val="DipnotMetni"/>
      </w:pPr>
      <w:r>
        <w:rPr>
          <w:rFonts w:ascii="Arial" w:hAnsi="Arial" w:cs="Arial"/>
          <w:sz w:val="16"/>
          <w:szCs w:val="16"/>
        </w:rPr>
        <w:t>İlkkaracan İ. ve İ. Tunali, “Agricultural transformation and the rural labour market in Turkey” in Rethinking Structural Reform in Turkish Agriculture: Beyond the World Bank’s strategy, edited by B. Karapinar, Nova Science Publishers, NY, 2010.</w:t>
      </w:r>
    </w:p>
  </w:footnote>
  <w:footnote w:id="5">
    <w:p w:rsidR="00E049BB" w:rsidRDefault="00E049BB" w:rsidP="00E049BB">
      <w:pPr>
        <w:pStyle w:val="DipnotMetni"/>
      </w:pPr>
      <w:r>
        <w:rPr>
          <w:rStyle w:val="DipnotBavurusu"/>
        </w:rPr>
        <w:footnoteRef/>
      </w:r>
      <w:r>
        <w:t xml:space="preserve"> </w:t>
      </w:r>
      <w:r w:rsidRPr="00D7118E">
        <w:rPr>
          <w:rFonts w:ascii="Arial" w:hAnsi="Arial" w:cs="Arial"/>
          <w:sz w:val="16"/>
          <w:szCs w:val="16"/>
        </w:rPr>
        <w:t xml:space="preserve">Çalışan kadınların yaşadıkları hanede gelir kadının ücret gelirinden dolayı daha yüksek olacaktır. </w:t>
      </w:r>
      <w:r>
        <w:rPr>
          <w:rFonts w:ascii="Arial" w:hAnsi="Arial" w:cs="Arial"/>
          <w:sz w:val="16"/>
          <w:szCs w:val="16"/>
        </w:rPr>
        <w:t xml:space="preserve">Ters nedenselliğe izin vermemek için çalışan kadının geliri hariç gelire bakılmaktadır. Hane halkı İşgücü Anketleri’nde sadece ücret geliri verisi bulunduğu için analizlerde ücret gelirleri kullanılmıştır.   </w:t>
      </w:r>
    </w:p>
  </w:footnote>
  <w:footnote w:id="6">
    <w:p w:rsidR="00821CCB" w:rsidRDefault="00821CCB">
      <w:pPr>
        <w:pStyle w:val="DipnotMetni"/>
      </w:pPr>
      <w:r>
        <w:rPr>
          <w:rStyle w:val="DipnotBavurusu"/>
        </w:rPr>
        <w:footnoteRef/>
      </w:r>
      <w:r>
        <w:t xml:space="preserve"> </w:t>
      </w:r>
      <w:r w:rsidRPr="009C6E09">
        <w:rPr>
          <w:rFonts w:ascii="Arial" w:hAnsi="Arial" w:cs="Arial"/>
          <w:sz w:val="16"/>
          <w:szCs w:val="16"/>
        </w:rPr>
        <w:t>Bölgelerin adları söz konusu bölgedeki en büyük ilin adıyla örtüşmektedir. Bölgelerdeki diğer iller yanlarında isimlerle belirtilmiştir.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lvlText w:val=""/>
      <w:lvlJc w:val="left"/>
      <w:pPr>
        <w:tabs>
          <w:tab w:val="num" w:pos="432"/>
        </w:tabs>
        <w:ind w:left="432" w:hanging="432"/>
      </w:pPr>
    </w:lvl>
    <w:lvl w:ilvl="1">
      <w:start w:val="1"/>
      <w:numFmt w:val="none"/>
      <w:pStyle w:val="Balk2"/>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34969"/>
    <w:rsid w:val="000066AF"/>
    <w:rsid w:val="00007FBF"/>
    <w:rsid w:val="00010DF0"/>
    <w:rsid w:val="000130EA"/>
    <w:rsid w:val="00013692"/>
    <w:rsid w:val="0001515E"/>
    <w:rsid w:val="000155A8"/>
    <w:rsid w:val="000173CD"/>
    <w:rsid w:val="00022732"/>
    <w:rsid w:val="00023F98"/>
    <w:rsid w:val="0002664D"/>
    <w:rsid w:val="00026D33"/>
    <w:rsid w:val="00031BF2"/>
    <w:rsid w:val="00031F18"/>
    <w:rsid w:val="000322DB"/>
    <w:rsid w:val="000336A6"/>
    <w:rsid w:val="000345D8"/>
    <w:rsid w:val="00044637"/>
    <w:rsid w:val="0005073F"/>
    <w:rsid w:val="00051488"/>
    <w:rsid w:val="000550BC"/>
    <w:rsid w:val="00055D1F"/>
    <w:rsid w:val="00056140"/>
    <w:rsid w:val="00060CB2"/>
    <w:rsid w:val="00060F4C"/>
    <w:rsid w:val="00062603"/>
    <w:rsid w:val="00065D3F"/>
    <w:rsid w:val="000673C8"/>
    <w:rsid w:val="00067DBE"/>
    <w:rsid w:val="000741B9"/>
    <w:rsid w:val="000817A7"/>
    <w:rsid w:val="00083821"/>
    <w:rsid w:val="00086BEB"/>
    <w:rsid w:val="00087DD0"/>
    <w:rsid w:val="000915C0"/>
    <w:rsid w:val="00091C79"/>
    <w:rsid w:val="00092B76"/>
    <w:rsid w:val="00094087"/>
    <w:rsid w:val="00095931"/>
    <w:rsid w:val="000A1949"/>
    <w:rsid w:val="000A2F4E"/>
    <w:rsid w:val="000A73D5"/>
    <w:rsid w:val="000B67A5"/>
    <w:rsid w:val="000B7A61"/>
    <w:rsid w:val="000C046C"/>
    <w:rsid w:val="000C371D"/>
    <w:rsid w:val="000C4D71"/>
    <w:rsid w:val="000C6AB5"/>
    <w:rsid w:val="000C716D"/>
    <w:rsid w:val="000D09BE"/>
    <w:rsid w:val="000D682D"/>
    <w:rsid w:val="000E668D"/>
    <w:rsid w:val="000F2A42"/>
    <w:rsid w:val="000F45D4"/>
    <w:rsid w:val="00101629"/>
    <w:rsid w:val="00101CE3"/>
    <w:rsid w:val="00103634"/>
    <w:rsid w:val="0010427D"/>
    <w:rsid w:val="00105466"/>
    <w:rsid w:val="00105C72"/>
    <w:rsid w:val="001062C2"/>
    <w:rsid w:val="00106419"/>
    <w:rsid w:val="0012112D"/>
    <w:rsid w:val="00121ACA"/>
    <w:rsid w:val="001233A6"/>
    <w:rsid w:val="00127107"/>
    <w:rsid w:val="001302CB"/>
    <w:rsid w:val="00132434"/>
    <w:rsid w:val="0013293A"/>
    <w:rsid w:val="00134969"/>
    <w:rsid w:val="001377A6"/>
    <w:rsid w:val="00140D08"/>
    <w:rsid w:val="00142F86"/>
    <w:rsid w:val="0014485C"/>
    <w:rsid w:val="00145C4A"/>
    <w:rsid w:val="0014654D"/>
    <w:rsid w:val="00146B5D"/>
    <w:rsid w:val="0015521A"/>
    <w:rsid w:val="0015586B"/>
    <w:rsid w:val="00156B74"/>
    <w:rsid w:val="00160067"/>
    <w:rsid w:val="00164ECA"/>
    <w:rsid w:val="00170B84"/>
    <w:rsid w:val="00172907"/>
    <w:rsid w:val="00172A99"/>
    <w:rsid w:val="00175675"/>
    <w:rsid w:val="0017672B"/>
    <w:rsid w:val="00186FF0"/>
    <w:rsid w:val="001916DE"/>
    <w:rsid w:val="00194837"/>
    <w:rsid w:val="001974C5"/>
    <w:rsid w:val="001A2367"/>
    <w:rsid w:val="001A2F16"/>
    <w:rsid w:val="001A42BD"/>
    <w:rsid w:val="001B06A1"/>
    <w:rsid w:val="001C0906"/>
    <w:rsid w:val="001C19D0"/>
    <w:rsid w:val="001D0F4A"/>
    <w:rsid w:val="001D5307"/>
    <w:rsid w:val="001D6373"/>
    <w:rsid w:val="001E2BFD"/>
    <w:rsid w:val="001F0E43"/>
    <w:rsid w:val="001F1B67"/>
    <w:rsid w:val="001F30B2"/>
    <w:rsid w:val="001F7D2C"/>
    <w:rsid w:val="00200B4D"/>
    <w:rsid w:val="002011F8"/>
    <w:rsid w:val="00205D07"/>
    <w:rsid w:val="00206605"/>
    <w:rsid w:val="00211754"/>
    <w:rsid w:val="00212D65"/>
    <w:rsid w:val="0021369F"/>
    <w:rsid w:val="00215039"/>
    <w:rsid w:val="00216BF0"/>
    <w:rsid w:val="002200ED"/>
    <w:rsid w:val="00227CBA"/>
    <w:rsid w:val="00232422"/>
    <w:rsid w:val="00233995"/>
    <w:rsid w:val="0023698A"/>
    <w:rsid w:val="00242808"/>
    <w:rsid w:val="002501CA"/>
    <w:rsid w:val="002502F1"/>
    <w:rsid w:val="00250E3D"/>
    <w:rsid w:val="00253330"/>
    <w:rsid w:val="00255FC1"/>
    <w:rsid w:val="00257D0A"/>
    <w:rsid w:val="0026371C"/>
    <w:rsid w:val="0026517A"/>
    <w:rsid w:val="00272FA3"/>
    <w:rsid w:val="00274D79"/>
    <w:rsid w:val="00276888"/>
    <w:rsid w:val="0028175B"/>
    <w:rsid w:val="00285165"/>
    <w:rsid w:val="002918DD"/>
    <w:rsid w:val="00294E32"/>
    <w:rsid w:val="002A0946"/>
    <w:rsid w:val="002A4FA2"/>
    <w:rsid w:val="002A79AE"/>
    <w:rsid w:val="002B0350"/>
    <w:rsid w:val="002B3FDD"/>
    <w:rsid w:val="002C2308"/>
    <w:rsid w:val="002C3969"/>
    <w:rsid w:val="002C4BFA"/>
    <w:rsid w:val="002C6A36"/>
    <w:rsid w:val="002E1F63"/>
    <w:rsid w:val="002E2A3D"/>
    <w:rsid w:val="002E2BC5"/>
    <w:rsid w:val="002E7183"/>
    <w:rsid w:val="002F1E46"/>
    <w:rsid w:val="002F3C89"/>
    <w:rsid w:val="002F3D74"/>
    <w:rsid w:val="002F4D38"/>
    <w:rsid w:val="002F5031"/>
    <w:rsid w:val="002F73BF"/>
    <w:rsid w:val="0030220E"/>
    <w:rsid w:val="00314542"/>
    <w:rsid w:val="0031511A"/>
    <w:rsid w:val="00327AC1"/>
    <w:rsid w:val="00334FBF"/>
    <w:rsid w:val="00342A1D"/>
    <w:rsid w:val="00343BDF"/>
    <w:rsid w:val="00347B05"/>
    <w:rsid w:val="00347D28"/>
    <w:rsid w:val="00350434"/>
    <w:rsid w:val="003541EA"/>
    <w:rsid w:val="003556EF"/>
    <w:rsid w:val="0035576F"/>
    <w:rsid w:val="00360400"/>
    <w:rsid w:val="00360997"/>
    <w:rsid w:val="00361F60"/>
    <w:rsid w:val="0036329E"/>
    <w:rsid w:val="00364EF1"/>
    <w:rsid w:val="003712B6"/>
    <w:rsid w:val="00371F72"/>
    <w:rsid w:val="00373C4B"/>
    <w:rsid w:val="00375836"/>
    <w:rsid w:val="003839C5"/>
    <w:rsid w:val="003846CE"/>
    <w:rsid w:val="00384920"/>
    <w:rsid w:val="003849D5"/>
    <w:rsid w:val="00387C24"/>
    <w:rsid w:val="003920F9"/>
    <w:rsid w:val="00396F51"/>
    <w:rsid w:val="003A151E"/>
    <w:rsid w:val="003A224A"/>
    <w:rsid w:val="003A3DB0"/>
    <w:rsid w:val="003B0215"/>
    <w:rsid w:val="003B457E"/>
    <w:rsid w:val="003B6E7F"/>
    <w:rsid w:val="003B7579"/>
    <w:rsid w:val="003B79B3"/>
    <w:rsid w:val="003C0FF6"/>
    <w:rsid w:val="003C1444"/>
    <w:rsid w:val="003C6675"/>
    <w:rsid w:val="003D0B2E"/>
    <w:rsid w:val="003D1D15"/>
    <w:rsid w:val="003D2ADE"/>
    <w:rsid w:val="003D32F3"/>
    <w:rsid w:val="003D4230"/>
    <w:rsid w:val="003D4DF4"/>
    <w:rsid w:val="003E11F8"/>
    <w:rsid w:val="003E1E3F"/>
    <w:rsid w:val="003E409D"/>
    <w:rsid w:val="003E68B3"/>
    <w:rsid w:val="003E6A6A"/>
    <w:rsid w:val="003F5E5D"/>
    <w:rsid w:val="003F6AC1"/>
    <w:rsid w:val="003F7E83"/>
    <w:rsid w:val="00413887"/>
    <w:rsid w:val="00415A7C"/>
    <w:rsid w:val="00424244"/>
    <w:rsid w:val="004245C8"/>
    <w:rsid w:val="00424717"/>
    <w:rsid w:val="00430440"/>
    <w:rsid w:val="004350EB"/>
    <w:rsid w:val="0043579C"/>
    <w:rsid w:val="0044631D"/>
    <w:rsid w:val="00450914"/>
    <w:rsid w:val="00450915"/>
    <w:rsid w:val="00455663"/>
    <w:rsid w:val="0045616A"/>
    <w:rsid w:val="00464814"/>
    <w:rsid w:val="00465600"/>
    <w:rsid w:val="00467002"/>
    <w:rsid w:val="00467333"/>
    <w:rsid w:val="004726EE"/>
    <w:rsid w:val="00473C58"/>
    <w:rsid w:val="004800C7"/>
    <w:rsid w:val="004853B1"/>
    <w:rsid w:val="0048582F"/>
    <w:rsid w:val="0048784D"/>
    <w:rsid w:val="004921EE"/>
    <w:rsid w:val="00493AC5"/>
    <w:rsid w:val="004A3F95"/>
    <w:rsid w:val="004A4633"/>
    <w:rsid w:val="004A4EFA"/>
    <w:rsid w:val="004A5019"/>
    <w:rsid w:val="004A50DC"/>
    <w:rsid w:val="004A6C02"/>
    <w:rsid w:val="004A73C2"/>
    <w:rsid w:val="004B1544"/>
    <w:rsid w:val="004B264E"/>
    <w:rsid w:val="004B34DA"/>
    <w:rsid w:val="004B48AF"/>
    <w:rsid w:val="004B679E"/>
    <w:rsid w:val="004C2678"/>
    <w:rsid w:val="004C3FC9"/>
    <w:rsid w:val="004D2A25"/>
    <w:rsid w:val="004D4F30"/>
    <w:rsid w:val="004D5015"/>
    <w:rsid w:val="004D56D0"/>
    <w:rsid w:val="004D6267"/>
    <w:rsid w:val="004E3BAC"/>
    <w:rsid w:val="004E4798"/>
    <w:rsid w:val="004E4E0E"/>
    <w:rsid w:val="004E5047"/>
    <w:rsid w:val="004E6043"/>
    <w:rsid w:val="004F32BC"/>
    <w:rsid w:val="004F531C"/>
    <w:rsid w:val="00501B48"/>
    <w:rsid w:val="00503880"/>
    <w:rsid w:val="00506B2D"/>
    <w:rsid w:val="005108FD"/>
    <w:rsid w:val="005119E5"/>
    <w:rsid w:val="0051708F"/>
    <w:rsid w:val="00520645"/>
    <w:rsid w:val="005245C7"/>
    <w:rsid w:val="00524989"/>
    <w:rsid w:val="00526178"/>
    <w:rsid w:val="00526638"/>
    <w:rsid w:val="00526FFE"/>
    <w:rsid w:val="00532D8E"/>
    <w:rsid w:val="00533B2D"/>
    <w:rsid w:val="00536601"/>
    <w:rsid w:val="00537148"/>
    <w:rsid w:val="005372F0"/>
    <w:rsid w:val="00540DC4"/>
    <w:rsid w:val="0054288C"/>
    <w:rsid w:val="00544A81"/>
    <w:rsid w:val="0054608A"/>
    <w:rsid w:val="005460EA"/>
    <w:rsid w:val="005501B3"/>
    <w:rsid w:val="005548C1"/>
    <w:rsid w:val="00560143"/>
    <w:rsid w:val="00561462"/>
    <w:rsid w:val="00562134"/>
    <w:rsid w:val="0056733F"/>
    <w:rsid w:val="005712AB"/>
    <w:rsid w:val="0057776C"/>
    <w:rsid w:val="00582EA3"/>
    <w:rsid w:val="005844DB"/>
    <w:rsid w:val="00584891"/>
    <w:rsid w:val="0058616F"/>
    <w:rsid w:val="00586CAC"/>
    <w:rsid w:val="00587A6F"/>
    <w:rsid w:val="00590E60"/>
    <w:rsid w:val="00591998"/>
    <w:rsid w:val="0059457F"/>
    <w:rsid w:val="005A29D2"/>
    <w:rsid w:val="005B5268"/>
    <w:rsid w:val="005B578B"/>
    <w:rsid w:val="005B6D74"/>
    <w:rsid w:val="005C571C"/>
    <w:rsid w:val="005C5F5F"/>
    <w:rsid w:val="005D2638"/>
    <w:rsid w:val="005D375E"/>
    <w:rsid w:val="005D46FE"/>
    <w:rsid w:val="005D622B"/>
    <w:rsid w:val="005D64B1"/>
    <w:rsid w:val="005E0686"/>
    <w:rsid w:val="005E1DFE"/>
    <w:rsid w:val="005E3FCD"/>
    <w:rsid w:val="005F1831"/>
    <w:rsid w:val="005F6F90"/>
    <w:rsid w:val="005F709B"/>
    <w:rsid w:val="005F724F"/>
    <w:rsid w:val="00614619"/>
    <w:rsid w:val="00615CBF"/>
    <w:rsid w:val="00616FBD"/>
    <w:rsid w:val="00622B5C"/>
    <w:rsid w:val="006325F1"/>
    <w:rsid w:val="00632EA8"/>
    <w:rsid w:val="00633189"/>
    <w:rsid w:val="00633FAD"/>
    <w:rsid w:val="00641629"/>
    <w:rsid w:val="0065068B"/>
    <w:rsid w:val="00653EF1"/>
    <w:rsid w:val="00656765"/>
    <w:rsid w:val="006572B5"/>
    <w:rsid w:val="006600DA"/>
    <w:rsid w:val="006607BB"/>
    <w:rsid w:val="006619A2"/>
    <w:rsid w:val="00665405"/>
    <w:rsid w:val="006666B1"/>
    <w:rsid w:val="006701A8"/>
    <w:rsid w:val="00671AF9"/>
    <w:rsid w:val="0067494F"/>
    <w:rsid w:val="00674DEA"/>
    <w:rsid w:val="00676163"/>
    <w:rsid w:val="006820F4"/>
    <w:rsid w:val="00684509"/>
    <w:rsid w:val="0069706B"/>
    <w:rsid w:val="006978CC"/>
    <w:rsid w:val="00697E8F"/>
    <w:rsid w:val="006A0377"/>
    <w:rsid w:val="006B13D6"/>
    <w:rsid w:val="006B5416"/>
    <w:rsid w:val="006C1C50"/>
    <w:rsid w:val="006C2713"/>
    <w:rsid w:val="006D2054"/>
    <w:rsid w:val="006D44A5"/>
    <w:rsid w:val="006D5D5F"/>
    <w:rsid w:val="006D709F"/>
    <w:rsid w:val="006E75D4"/>
    <w:rsid w:val="006F4A17"/>
    <w:rsid w:val="006F4D27"/>
    <w:rsid w:val="006F4E84"/>
    <w:rsid w:val="006F5C7A"/>
    <w:rsid w:val="006F6282"/>
    <w:rsid w:val="006F6E3A"/>
    <w:rsid w:val="0070084C"/>
    <w:rsid w:val="00705AAD"/>
    <w:rsid w:val="00712BA8"/>
    <w:rsid w:val="00715F56"/>
    <w:rsid w:val="00717AB5"/>
    <w:rsid w:val="007232BA"/>
    <w:rsid w:val="00724AA8"/>
    <w:rsid w:val="007264AC"/>
    <w:rsid w:val="00727C27"/>
    <w:rsid w:val="00732529"/>
    <w:rsid w:val="00737277"/>
    <w:rsid w:val="007379F2"/>
    <w:rsid w:val="00740CD7"/>
    <w:rsid w:val="00741363"/>
    <w:rsid w:val="00745EBA"/>
    <w:rsid w:val="0075357F"/>
    <w:rsid w:val="00753990"/>
    <w:rsid w:val="00753B00"/>
    <w:rsid w:val="00763121"/>
    <w:rsid w:val="007650F2"/>
    <w:rsid w:val="00765CCA"/>
    <w:rsid w:val="00767BBF"/>
    <w:rsid w:val="0077435E"/>
    <w:rsid w:val="007754F2"/>
    <w:rsid w:val="007759D0"/>
    <w:rsid w:val="007835D3"/>
    <w:rsid w:val="00783CF6"/>
    <w:rsid w:val="00786413"/>
    <w:rsid w:val="00791AC4"/>
    <w:rsid w:val="00795110"/>
    <w:rsid w:val="007A1A48"/>
    <w:rsid w:val="007A724F"/>
    <w:rsid w:val="007B3E05"/>
    <w:rsid w:val="007C0D26"/>
    <w:rsid w:val="007C25AD"/>
    <w:rsid w:val="007C6485"/>
    <w:rsid w:val="007C7199"/>
    <w:rsid w:val="007C78F2"/>
    <w:rsid w:val="007D098A"/>
    <w:rsid w:val="007D11F2"/>
    <w:rsid w:val="007D24B6"/>
    <w:rsid w:val="007E18E6"/>
    <w:rsid w:val="007E26A3"/>
    <w:rsid w:val="007E5CB2"/>
    <w:rsid w:val="007F0EBD"/>
    <w:rsid w:val="007F4BBF"/>
    <w:rsid w:val="007F4DF4"/>
    <w:rsid w:val="00804554"/>
    <w:rsid w:val="00804815"/>
    <w:rsid w:val="00806E1B"/>
    <w:rsid w:val="00806FFF"/>
    <w:rsid w:val="00807F2D"/>
    <w:rsid w:val="0081447A"/>
    <w:rsid w:val="00816185"/>
    <w:rsid w:val="00821ACA"/>
    <w:rsid w:val="00821CCB"/>
    <w:rsid w:val="00827A27"/>
    <w:rsid w:val="00841557"/>
    <w:rsid w:val="00841928"/>
    <w:rsid w:val="00842065"/>
    <w:rsid w:val="00842932"/>
    <w:rsid w:val="0084355B"/>
    <w:rsid w:val="008435E0"/>
    <w:rsid w:val="008461EB"/>
    <w:rsid w:val="00851C6F"/>
    <w:rsid w:val="008548BF"/>
    <w:rsid w:val="008648DA"/>
    <w:rsid w:val="00867000"/>
    <w:rsid w:val="008670D9"/>
    <w:rsid w:val="008675B6"/>
    <w:rsid w:val="00871C5D"/>
    <w:rsid w:val="008729BD"/>
    <w:rsid w:val="00872D56"/>
    <w:rsid w:val="00875917"/>
    <w:rsid w:val="0087674E"/>
    <w:rsid w:val="008800B9"/>
    <w:rsid w:val="00881941"/>
    <w:rsid w:val="00882B2D"/>
    <w:rsid w:val="00885162"/>
    <w:rsid w:val="008912E9"/>
    <w:rsid w:val="008926AC"/>
    <w:rsid w:val="008931BA"/>
    <w:rsid w:val="0089434A"/>
    <w:rsid w:val="00895561"/>
    <w:rsid w:val="00895C27"/>
    <w:rsid w:val="008A1152"/>
    <w:rsid w:val="008B1F86"/>
    <w:rsid w:val="008B2FCA"/>
    <w:rsid w:val="008B4C23"/>
    <w:rsid w:val="008C0B63"/>
    <w:rsid w:val="008C16E5"/>
    <w:rsid w:val="008E02C0"/>
    <w:rsid w:val="008E0527"/>
    <w:rsid w:val="008E1756"/>
    <w:rsid w:val="008E4B0E"/>
    <w:rsid w:val="008E65E8"/>
    <w:rsid w:val="008F17B3"/>
    <w:rsid w:val="008F5AC4"/>
    <w:rsid w:val="00902AC3"/>
    <w:rsid w:val="00903DC9"/>
    <w:rsid w:val="00910896"/>
    <w:rsid w:val="00912C49"/>
    <w:rsid w:val="009155D7"/>
    <w:rsid w:val="00915ADA"/>
    <w:rsid w:val="00916445"/>
    <w:rsid w:val="009176C7"/>
    <w:rsid w:val="00922DEA"/>
    <w:rsid w:val="009240B8"/>
    <w:rsid w:val="00925916"/>
    <w:rsid w:val="0093419D"/>
    <w:rsid w:val="009357F8"/>
    <w:rsid w:val="00942C22"/>
    <w:rsid w:val="00943354"/>
    <w:rsid w:val="0094383C"/>
    <w:rsid w:val="00944050"/>
    <w:rsid w:val="00944492"/>
    <w:rsid w:val="009449AB"/>
    <w:rsid w:val="00944A7D"/>
    <w:rsid w:val="00946C14"/>
    <w:rsid w:val="00951355"/>
    <w:rsid w:val="0095189C"/>
    <w:rsid w:val="00951B3C"/>
    <w:rsid w:val="00955F1A"/>
    <w:rsid w:val="0095687D"/>
    <w:rsid w:val="00957CED"/>
    <w:rsid w:val="00960B82"/>
    <w:rsid w:val="00964167"/>
    <w:rsid w:val="00964651"/>
    <w:rsid w:val="00966AE8"/>
    <w:rsid w:val="00967AA1"/>
    <w:rsid w:val="00971D36"/>
    <w:rsid w:val="00974FE1"/>
    <w:rsid w:val="00975A55"/>
    <w:rsid w:val="009778AC"/>
    <w:rsid w:val="00977FD7"/>
    <w:rsid w:val="00980831"/>
    <w:rsid w:val="00982F1C"/>
    <w:rsid w:val="009859D1"/>
    <w:rsid w:val="00987006"/>
    <w:rsid w:val="009909A6"/>
    <w:rsid w:val="009953B3"/>
    <w:rsid w:val="009A11D1"/>
    <w:rsid w:val="009A1C77"/>
    <w:rsid w:val="009A1D9C"/>
    <w:rsid w:val="009A278B"/>
    <w:rsid w:val="009A5F02"/>
    <w:rsid w:val="009B2420"/>
    <w:rsid w:val="009C3AFE"/>
    <w:rsid w:val="009C6E09"/>
    <w:rsid w:val="009C770E"/>
    <w:rsid w:val="009D23E1"/>
    <w:rsid w:val="009D5426"/>
    <w:rsid w:val="009E14CD"/>
    <w:rsid w:val="009E304C"/>
    <w:rsid w:val="009E4073"/>
    <w:rsid w:val="009E5B70"/>
    <w:rsid w:val="009E6449"/>
    <w:rsid w:val="009E6933"/>
    <w:rsid w:val="009F0540"/>
    <w:rsid w:val="009F1187"/>
    <w:rsid w:val="009F3544"/>
    <w:rsid w:val="009F5255"/>
    <w:rsid w:val="00A02422"/>
    <w:rsid w:val="00A03615"/>
    <w:rsid w:val="00A07DFC"/>
    <w:rsid w:val="00A10824"/>
    <w:rsid w:val="00A12281"/>
    <w:rsid w:val="00A163C1"/>
    <w:rsid w:val="00A22F01"/>
    <w:rsid w:val="00A23773"/>
    <w:rsid w:val="00A252BD"/>
    <w:rsid w:val="00A375D5"/>
    <w:rsid w:val="00A378D0"/>
    <w:rsid w:val="00A37AAB"/>
    <w:rsid w:val="00A436A9"/>
    <w:rsid w:val="00A436C3"/>
    <w:rsid w:val="00A45F7E"/>
    <w:rsid w:val="00A46BB7"/>
    <w:rsid w:val="00A50990"/>
    <w:rsid w:val="00A527F3"/>
    <w:rsid w:val="00A536DC"/>
    <w:rsid w:val="00A54A4D"/>
    <w:rsid w:val="00A60FED"/>
    <w:rsid w:val="00A637DA"/>
    <w:rsid w:val="00A66A3A"/>
    <w:rsid w:val="00A671E5"/>
    <w:rsid w:val="00A753E5"/>
    <w:rsid w:val="00A76DDE"/>
    <w:rsid w:val="00A77A62"/>
    <w:rsid w:val="00A80E29"/>
    <w:rsid w:val="00A83CC8"/>
    <w:rsid w:val="00A86B94"/>
    <w:rsid w:val="00A936A7"/>
    <w:rsid w:val="00A949C6"/>
    <w:rsid w:val="00A9594A"/>
    <w:rsid w:val="00A95FCF"/>
    <w:rsid w:val="00AA0EED"/>
    <w:rsid w:val="00AA3205"/>
    <w:rsid w:val="00AA34EA"/>
    <w:rsid w:val="00AA43B3"/>
    <w:rsid w:val="00AA656B"/>
    <w:rsid w:val="00AB4D18"/>
    <w:rsid w:val="00AB7918"/>
    <w:rsid w:val="00AC4281"/>
    <w:rsid w:val="00AC6942"/>
    <w:rsid w:val="00AC7EA0"/>
    <w:rsid w:val="00AD1B8A"/>
    <w:rsid w:val="00AE0B26"/>
    <w:rsid w:val="00AE240C"/>
    <w:rsid w:val="00AE253F"/>
    <w:rsid w:val="00AE6AA2"/>
    <w:rsid w:val="00AF0272"/>
    <w:rsid w:val="00AF2D48"/>
    <w:rsid w:val="00AF5D5C"/>
    <w:rsid w:val="00AF6F81"/>
    <w:rsid w:val="00B037ED"/>
    <w:rsid w:val="00B0547D"/>
    <w:rsid w:val="00B215ED"/>
    <w:rsid w:val="00B23C98"/>
    <w:rsid w:val="00B24C78"/>
    <w:rsid w:val="00B26385"/>
    <w:rsid w:val="00B26B1F"/>
    <w:rsid w:val="00B26B78"/>
    <w:rsid w:val="00B32657"/>
    <w:rsid w:val="00B409FE"/>
    <w:rsid w:val="00B40BDC"/>
    <w:rsid w:val="00B42F9C"/>
    <w:rsid w:val="00B432D8"/>
    <w:rsid w:val="00B445C8"/>
    <w:rsid w:val="00B455BA"/>
    <w:rsid w:val="00B54B93"/>
    <w:rsid w:val="00B63D76"/>
    <w:rsid w:val="00B66ACE"/>
    <w:rsid w:val="00B66F5F"/>
    <w:rsid w:val="00B70701"/>
    <w:rsid w:val="00B7318F"/>
    <w:rsid w:val="00B74256"/>
    <w:rsid w:val="00B76B71"/>
    <w:rsid w:val="00B8001C"/>
    <w:rsid w:val="00B808B1"/>
    <w:rsid w:val="00B86E5E"/>
    <w:rsid w:val="00BA05A4"/>
    <w:rsid w:val="00BA13F7"/>
    <w:rsid w:val="00BA3134"/>
    <w:rsid w:val="00BA4B75"/>
    <w:rsid w:val="00BA6265"/>
    <w:rsid w:val="00BB498B"/>
    <w:rsid w:val="00BC2ED9"/>
    <w:rsid w:val="00BC2FA0"/>
    <w:rsid w:val="00BC40BF"/>
    <w:rsid w:val="00BD320D"/>
    <w:rsid w:val="00BD4167"/>
    <w:rsid w:val="00BD694E"/>
    <w:rsid w:val="00BE31C7"/>
    <w:rsid w:val="00BE46F4"/>
    <w:rsid w:val="00BE4786"/>
    <w:rsid w:val="00BE4A9E"/>
    <w:rsid w:val="00BF2ED5"/>
    <w:rsid w:val="00C02B32"/>
    <w:rsid w:val="00C05860"/>
    <w:rsid w:val="00C0753F"/>
    <w:rsid w:val="00C20DC6"/>
    <w:rsid w:val="00C23D99"/>
    <w:rsid w:val="00C26563"/>
    <w:rsid w:val="00C26BB9"/>
    <w:rsid w:val="00C31605"/>
    <w:rsid w:val="00C31E4A"/>
    <w:rsid w:val="00C32268"/>
    <w:rsid w:val="00C3228A"/>
    <w:rsid w:val="00C35187"/>
    <w:rsid w:val="00C35735"/>
    <w:rsid w:val="00C35933"/>
    <w:rsid w:val="00C429A6"/>
    <w:rsid w:val="00C50850"/>
    <w:rsid w:val="00C56C86"/>
    <w:rsid w:val="00C57CAC"/>
    <w:rsid w:val="00C60C6B"/>
    <w:rsid w:val="00C6391C"/>
    <w:rsid w:val="00C63B60"/>
    <w:rsid w:val="00C65D80"/>
    <w:rsid w:val="00C702ED"/>
    <w:rsid w:val="00C7642C"/>
    <w:rsid w:val="00C76EBD"/>
    <w:rsid w:val="00C7794F"/>
    <w:rsid w:val="00C862DA"/>
    <w:rsid w:val="00C907D1"/>
    <w:rsid w:val="00C9152B"/>
    <w:rsid w:val="00C9406F"/>
    <w:rsid w:val="00C96690"/>
    <w:rsid w:val="00C96F74"/>
    <w:rsid w:val="00C970AF"/>
    <w:rsid w:val="00C97620"/>
    <w:rsid w:val="00CA0827"/>
    <w:rsid w:val="00CA1587"/>
    <w:rsid w:val="00CA6FEE"/>
    <w:rsid w:val="00CB2A85"/>
    <w:rsid w:val="00CB677D"/>
    <w:rsid w:val="00CC2999"/>
    <w:rsid w:val="00CC6445"/>
    <w:rsid w:val="00CD2572"/>
    <w:rsid w:val="00CD2A20"/>
    <w:rsid w:val="00CE1A5B"/>
    <w:rsid w:val="00CE7EB5"/>
    <w:rsid w:val="00CF0BB6"/>
    <w:rsid w:val="00CF25D4"/>
    <w:rsid w:val="00CF3DED"/>
    <w:rsid w:val="00CF51F3"/>
    <w:rsid w:val="00CF6880"/>
    <w:rsid w:val="00CF7885"/>
    <w:rsid w:val="00D0016D"/>
    <w:rsid w:val="00D00A08"/>
    <w:rsid w:val="00D03DD2"/>
    <w:rsid w:val="00D047D4"/>
    <w:rsid w:val="00D05658"/>
    <w:rsid w:val="00D1408A"/>
    <w:rsid w:val="00D14365"/>
    <w:rsid w:val="00D14681"/>
    <w:rsid w:val="00D15DB2"/>
    <w:rsid w:val="00D2055E"/>
    <w:rsid w:val="00D211DE"/>
    <w:rsid w:val="00D24A61"/>
    <w:rsid w:val="00D25FE0"/>
    <w:rsid w:val="00D261FB"/>
    <w:rsid w:val="00D262BC"/>
    <w:rsid w:val="00D26A89"/>
    <w:rsid w:val="00D3521E"/>
    <w:rsid w:val="00D364D2"/>
    <w:rsid w:val="00D36C19"/>
    <w:rsid w:val="00D37145"/>
    <w:rsid w:val="00D40584"/>
    <w:rsid w:val="00D42B04"/>
    <w:rsid w:val="00D458FD"/>
    <w:rsid w:val="00D50551"/>
    <w:rsid w:val="00D50F10"/>
    <w:rsid w:val="00D521CE"/>
    <w:rsid w:val="00D528B1"/>
    <w:rsid w:val="00D557FB"/>
    <w:rsid w:val="00D56697"/>
    <w:rsid w:val="00D5690A"/>
    <w:rsid w:val="00D57331"/>
    <w:rsid w:val="00D60965"/>
    <w:rsid w:val="00D61541"/>
    <w:rsid w:val="00D64027"/>
    <w:rsid w:val="00D64C67"/>
    <w:rsid w:val="00D65A2E"/>
    <w:rsid w:val="00D664B4"/>
    <w:rsid w:val="00D670E6"/>
    <w:rsid w:val="00D67EC9"/>
    <w:rsid w:val="00D70032"/>
    <w:rsid w:val="00D7118E"/>
    <w:rsid w:val="00D74C2A"/>
    <w:rsid w:val="00D74FDD"/>
    <w:rsid w:val="00D77DFD"/>
    <w:rsid w:val="00D82336"/>
    <w:rsid w:val="00D82B93"/>
    <w:rsid w:val="00D8648E"/>
    <w:rsid w:val="00D9076E"/>
    <w:rsid w:val="00D935EA"/>
    <w:rsid w:val="00DA0A32"/>
    <w:rsid w:val="00DA27DD"/>
    <w:rsid w:val="00DA2EA2"/>
    <w:rsid w:val="00DA3BB9"/>
    <w:rsid w:val="00DA6062"/>
    <w:rsid w:val="00DB2CC7"/>
    <w:rsid w:val="00DB31F0"/>
    <w:rsid w:val="00DB3326"/>
    <w:rsid w:val="00DB4A29"/>
    <w:rsid w:val="00DB6E7F"/>
    <w:rsid w:val="00DC00F1"/>
    <w:rsid w:val="00DC1788"/>
    <w:rsid w:val="00DC34FC"/>
    <w:rsid w:val="00DD0B7F"/>
    <w:rsid w:val="00DD1B6A"/>
    <w:rsid w:val="00DD1D8B"/>
    <w:rsid w:val="00DD294E"/>
    <w:rsid w:val="00DD29FB"/>
    <w:rsid w:val="00DD5044"/>
    <w:rsid w:val="00DD6A32"/>
    <w:rsid w:val="00DD7873"/>
    <w:rsid w:val="00DE2963"/>
    <w:rsid w:val="00DE59FA"/>
    <w:rsid w:val="00DE7820"/>
    <w:rsid w:val="00DF7CB7"/>
    <w:rsid w:val="00DF7DA3"/>
    <w:rsid w:val="00E01C96"/>
    <w:rsid w:val="00E02CF5"/>
    <w:rsid w:val="00E0413D"/>
    <w:rsid w:val="00E049BB"/>
    <w:rsid w:val="00E05611"/>
    <w:rsid w:val="00E06541"/>
    <w:rsid w:val="00E068B3"/>
    <w:rsid w:val="00E07272"/>
    <w:rsid w:val="00E177A9"/>
    <w:rsid w:val="00E20A93"/>
    <w:rsid w:val="00E21537"/>
    <w:rsid w:val="00E21B77"/>
    <w:rsid w:val="00E23785"/>
    <w:rsid w:val="00E24FA9"/>
    <w:rsid w:val="00E312A8"/>
    <w:rsid w:val="00E339B1"/>
    <w:rsid w:val="00E367B1"/>
    <w:rsid w:val="00E37462"/>
    <w:rsid w:val="00E376ED"/>
    <w:rsid w:val="00E37E93"/>
    <w:rsid w:val="00E41299"/>
    <w:rsid w:val="00E41D46"/>
    <w:rsid w:val="00E4504E"/>
    <w:rsid w:val="00E53C92"/>
    <w:rsid w:val="00E5571D"/>
    <w:rsid w:val="00E55ABE"/>
    <w:rsid w:val="00E57B95"/>
    <w:rsid w:val="00E601D4"/>
    <w:rsid w:val="00E643E5"/>
    <w:rsid w:val="00E65344"/>
    <w:rsid w:val="00E653A7"/>
    <w:rsid w:val="00E6678A"/>
    <w:rsid w:val="00E668AF"/>
    <w:rsid w:val="00E67DD6"/>
    <w:rsid w:val="00E71E71"/>
    <w:rsid w:val="00E72017"/>
    <w:rsid w:val="00E83063"/>
    <w:rsid w:val="00E83ACC"/>
    <w:rsid w:val="00E83B0D"/>
    <w:rsid w:val="00E84B7A"/>
    <w:rsid w:val="00E85D0A"/>
    <w:rsid w:val="00E90968"/>
    <w:rsid w:val="00E94507"/>
    <w:rsid w:val="00E9476E"/>
    <w:rsid w:val="00E97689"/>
    <w:rsid w:val="00E978F8"/>
    <w:rsid w:val="00EA086F"/>
    <w:rsid w:val="00EA138A"/>
    <w:rsid w:val="00EA2E02"/>
    <w:rsid w:val="00EA501F"/>
    <w:rsid w:val="00EA6E75"/>
    <w:rsid w:val="00EA6F52"/>
    <w:rsid w:val="00EA718B"/>
    <w:rsid w:val="00EA7778"/>
    <w:rsid w:val="00EB0BA8"/>
    <w:rsid w:val="00EC5688"/>
    <w:rsid w:val="00EC5A9E"/>
    <w:rsid w:val="00EC6713"/>
    <w:rsid w:val="00EC6BC5"/>
    <w:rsid w:val="00ED562D"/>
    <w:rsid w:val="00EE3787"/>
    <w:rsid w:val="00EE3ED7"/>
    <w:rsid w:val="00EE7E13"/>
    <w:rsid w:val="00EF5C67"/>
    <w:rsid w:val="00F01727"/>
    <w:rsid w:val="00F06536"/>
    <w:rsid w:val="00F105FC"/>
    <w:rsid w:val="00F10EEB"/>
    <w:rsid w:val="00F162B1"/>
    <w:rsid w:val="00F21F84"/>
    <w:rsid w:val="00F307B6"/>
    <w:rsid w:val="00F3288E"/>
    <w:rsid w:val="00F3455C"/>
    <w:rsid w:val="00F3565C"/>
    <w:rsid w:val="00F45134"/>
    <w:rsid w:val="00F46AB8"/>
    <w:rsid w:val="00F504F7"/>
    <w:rsid w:val="00F527D3"/>
    <w:rsid w:val="00F54EF6"/>
    <w:rsid w:val="00F563A4"/>
    <w:rsid w:val="00F6034E"/>
    <w:rsid w:val="00F64AF9"/>
    <w:rsid w:val="00F65A16"/>
    <w:rsid w:val="00F7050F"/>
    <w:rsid w:val="00F73662"/>
    <w:rsid w:val="00F7542C"/>
    <w:rsid w:val="00F76D96"/>
    <w:rsid w:val="00F77F35"/>
    <w:rsid w:val="00F81DC0"/>
    <w:rsid w:val="00F8399A"/>
    <w:rsid w:val="00F85D73"/>
    <w:rsid w:val="00F907DA"/>
    <w:rsid w:val="00F91DE6"/>
    <w:rsid w:val="00FA0C6D"/>
    <w:rsid w:val="00FA30CA"/>
    <w:rsid w:val="00FA43DB"/>
    <w:rsid w:val="00FA4941"/>
    <w:rsid w:val="00FA5246"/>
    <w:rsid w:val="00FA60EF"/>
    <w:rsid w:val="00FA618E"/>
    <w:rsid w:val="00FA6DFC"/>
    <w:rsid w:val="00FC2475"/>
    <w:rsid w:val="00FC2BF0"/>
    <w:rsid w:val="00FC6F18"/>
    <w:rsid w:val="00FD06A9"/>
    <w:rsid w:val="00FD10D8"/>
    <w:rsid w:val="00FD643E"/>
    <w:rsid w:val="00FE3D40"/>
    <w:rsid w:val="00FE3E64"/>
    <w:rsid w:val="00FE5E01"/>
    <w:rsid w:val="00FF1745"/>
    <w:rsid w:val="00FF1D89"/>
    <w:rsid w:val="00FF210D"/>
    <w:rsid w:val="00FF2BBF"/>
    <w:rsid w:val="00FF603B"/>
    <w:rsid w:val="00FF6B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69"/>
    <w:rPr>
      <w:sz w:val="24"/>
      <w:szCs w:val="24"/>
      <w:lang w:val="tr-TR" w:eastAsia="tr-TR"/>
    </w:rPr>
  </w:style>
  <w:style w:type="paragraph" w:styleId="Balk1">
    <w:name w:val="heading 1"/>
    <w:basedOn w:val="Normal"/>
    <w:next w:val="Normal"/>
    <w:link w:val="Balk1Char"/>
    <w:uiPriority w:val="99"/>
    <w:qFormat/>
    <w:rsid w:val="00966AE8"/>
    <w:pPr>
      <w:keepNext/>
      <w:numPr>
        <w:numId w:val="1"/>
      </w:numPr>
      <w:suppressAutoHyphens/>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966AE8"/>
    <w:pPr>
      <w:keepNext/>
      <w:numPr>
        <w:ilvl w:val="1"/>
        <w:numId w:val="1"/>
      </w:numPr>
      <w:suppressAutoHyphens/>
      <w:spacing w:before="240" w:after="60"/>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qFormat/>
    <w:rsid w:val="00966AE8"/>
    <w:pPr>
      <w:keepNext/>
      <w:numPr>
        <w:ilvl w:val="2"/>
        <w:numId w:val="1"/>
      </w:numPr>
      <w:suppressAutoHyphens/>
      <w:spacing w:before="240" w:after="6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7C0D2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7C0D2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7C0D26"/>
    <w:rPr>
      <w:rFonts w:ascii="Cambria" w:hAnsi="Cambria" w:cs="Cambria"/>
      <w:b/>
      <w:bCs/>
      <w:sz w:val="26"/>
      <w:szCs w:val="26"/>
    </w:rPr>
  </w:style>
  <w:style w:type="paragraph" w:styleId="DipnotMetni">
    <w:name w:val="footnote text"/>
    <w:basedOn w:val="Normal"/>
    <w:link w:val="DipnotMetniChar"/>
    <w:uiPriority w:val="99"/>
    <w:semiHidden/>
    <w:rsid w:val="00A936A7"/>
    <w:rPr>
      <w:sz w:val="20"/>
      <w:szCs w:val="20"/>
    </w:rPr>
  </w:style>
  <w:style w:type="character" w:customStyle="1" w:styleId="FootnoteTextChar">
    <w:name w:val="Footnote Text Char"/>
    <w:basedOn w:val="VarsaylanParagrafYazTipi"/>
    <w:link w:val="DipnotMetni"/>
    <w:uiPriority w:val="99"/>
    <w:locked/>
    <w:rsid w:val="000322DB"/>
    <w:rPr>
      <w:lang w:val="tr-TR" w:eastAsia="ar-SA" w:bidi="ar-SA"/>
    </w:rPr>
  </w:style>
  <w:style w:type="character" w:styleId="DipnotBavurusu">
    <w:name w:val="footnote reference"/>
    <w:basedOn w:val="VarsaylanParagrafYazTipi"/>
    <w:uiPriority w:val="99"/>
    <w:semiHidden/>
    <w:rsid w:val="00A936A7"/>
    <w:rPr>
      <w:vertAlign w:val="superscript"/>
    </w:rPr>
  </w:style>
  <w:style w:type="character" w:styleId="Kpr">
    <w:name w:val="Hyperlink"/>
    <w:basedOn w:val="VarsaylanParagrafYazTipi"/>
    <w:uiPriority w:val="99"/>
    <w:rsid w:val="00A936A7"/>
    <w:rPr>
      <w:color w:val="0000FF"/>
      <w:u w:val="single"/>
    </w:rPr>
  </w:style>
  <w:style w:type="table" w:styleId="TabloZarif">
    <w:name w:val="Table Elegant"/>
    <w:basedOn w:val="NormalTablo"/>
    <w:uiPriority w:val="99"/>
    <w:rsid w:val="00F504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zlenenKpr">
    <w:name w:val="FollowedHyperlink"/>
    <w:basedOn w:val="VarsaylanParagrafYazTipi"/>
    <w:uiPriority w:val="99"/>
    <w:rsid w:val="0013293A"/>
    <w:rPr>
      <w:color w:val="800080"/>
      <w:u w:val="single"/>
    </w:rPr>
  </w:style>
  <w:style w:type="paragraph" w:styleId="ResimYazs">
    <w:name w:val="caption"/>
    <w:basedOn w:val="Normal"/>
    <w:next w:val="Normal"/>
    <w:uiPriority w:val="99"/>
    <w:qFormat/>
    <w:rsid w:val="00960B82"/>
    <w:pPr>
      <w:suppressAutoHyphens/>
    </w:pPr>
    <w:rPr>
      <w:b/>
      <w:bCs/>
      <w:sz w:val="20"/>
      <w:szCs w:val="20"/>
      <w:lang w:eastAsia="ar-SA"/>
    </w:rPr>
  </w:style>
  <w:style w:type="character" w:customStyle="1" w:styleId="DipnotMetniChar">
    <w:name w:val="Dipnot Metni Char"/>
    <w:link w:val="DipnotMetni"/>
    <w:uiPriority w:val="99"/>
    <w:locked/>
    <w:rsid w:val="00E978F8"/>
    <w:rPr>
      <w:lang w:val="tr-TR" w:eastAsia="tr-TR"/>
    </w:rPr>
  </w:style>
  <w:style w:type="character" w:styleId="AklamaBavurusu">
    <w:name w:val="annotation reference"/>
    <w:basedOn w:val="VarsaylanParagrafYazTipi"/>
    <w:uiPriority w:val="99"/>
    <w:semiHidden/>
    <w:rsid w:val="002E2A3D"/>
    <w:rPr>
      <w:sz w:val="16"/>
      <w:szCs w:val="16"/>
    </w:rPr>
  </w:style>
  <w:style w:type="paragraph" w:styleId="AklamaMetni">
    <w:name w:val="annotation text"/>
    <w:basedOn w:val="Normal"/>
    <w:link w:val="AklamaMetniChar"/>
    <w:uiPriority w:val="99"/>
    <w:semiHidden/>
    <w:rsid w:val="002E2A3D"/>
    <w:rPr>
      <w:sz w:val="20"/>
      <w:szCs w:val="20"/>
    </w:rPr>
  </w:style>
  <w:style w:type="character" w:customStyle="1" w:styleId="AklamaMetniChar">
    <w:name w:val="Açıklama Metni Char"/>
    <w:basedOn w:val="VarsaylanParagrafYazTipi"/>
    <w:link w:val="AklamaMetni"/>
    <w:uiPriority w:val="99"/>
    <w:semiHidden/>
    <w:locked/>
    <w:rsid w:val="007C0D26"/>
    <w:rPr>
      <w:sz w:val="20"/>
      <w:szCs w:val="20"/>
    </w:rPr>
  </w:style>
  <w:style w:type="paragraph" w:styleId="AklamaKonusu">
    <w:name w:val="annotation subject"/>
    <w:basedOn w:val="AklamaMetni"/>
    <w:next w:val="AklamaMetni"/>
    <w:link w:val="AklamaKonusuChar"/>
    <w:uiPriority w:val="99"/>
    <w:semiHidden/>
    <w:rsid w:val="002E2A3D"/>
    <w:rPr>
      <w:b/>
      <w:bCs/>
    </w:rPr>
  </w:style>
  <w:style w:type="character" w:customStyle="1" w:styleId="AklamaKonusuChar">
    <w:name w:val="Açıklama Konusu Char"/>
    <w:basedOn w:val="AklamaMetniChar"/>
    <w:link w:val="AklamaKonusu"/>
    <w:uiPriority w:val="99"/>
    <w:semiHidden/>
    <w:locked/>
    <w:rsid w:val="007C0D26"/>
    <w:rPr>
      <w:b/>
      <w:bCs/>
    </w:rPr>
  </w:style>
  <w:style w:type="paragraph" w:styleId="BalonMetni">
    <w:name w:val="Balloon Text"/>
    <w:basedOn w:val="Normal"/>
    <w:link w:val="BalonMetniChar"/>
    <w:uiPriority w:val="99"/>
    <w:semiHidden/>
    <w:rsid w:val="002E2A3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C0D26"/>
    <w:rPr>
      <w:sz w:val="2"/>
      <w:szCs w:val="2"/>
    </w:rPr>
  </w:style>
  <w:style w:type="paragraph" w:styleId="Altbilgi">
    <w:name w:val="footer"/>
    <w:basedOn w:val="Normal"/>
    <w:link w:val="AltbilgiChar"/>
    <w:uiPriority w:val="99"/>
    <w:rsid w:val="00396F51"/>
    <w:pPr>
      <w:tabs>
        <w:tab w:val="center" w:pos="4536"/>
        <w:tab w:val="right" w:pos="9072"/>
      </w:tabs>
    </w:pPr>
  </w:style>
  <w:style w:type="character" w:customStyle="1" w:styleId="AltbilgiChar">
    <w:name w:val="Altbilgi Char"/>
    <w:basedOn w:val="VarsaylanParagrafYazTipi"/>
    <w:link w:val="Altbilgi"/>
    <w:uiPriority w:val="99"/>
    <w:semiHidden/>
    <w:locked/>
    <w:rsid w:val="007C0D26"/>
    <w:rPr>
      <w:sz w:val="24"/>
      <w:szCs w:val="24"/>
    </w:rPr>
  </w:style>
  <w:style w:type="character" w:styleId="SayfaNumaras">
    <w:name w:val="page number"/>
    <w:basedOn w:val="VarsaylanParagrafYazTipi"/>
    <w:uiPriority w:val="99"/>
    <w:rsid w:val="00396F51"/>
  </w:style>
  <w:style w:type="paragraph" w:styleId="stbilgi">
    <w:name w:val="header"/>
    <w:basedOn w:val="Normal"/>
    <w:link w:val="stbilgiChar"/>
    <w:uiPriority w:val="99"/>
    <w:rsid w:val="00396F51"/>
    <w:pPr>
      <w:tabs>
        <w:tab w:val="center" w:pos="4536"/>
        <w:tab w:val="right" w:pos="9072"/>
      </w:tabs>
    </w:pPr>
  </w:style>
  <w:style w:type="character" w:customStyle="1" w:styleId="stbilgiChar">
    <w:name w:val="Üstbilgi Char"/>
    <w:basedOn w:val="VarsaylanParagrafYazTipi"/>
    <w:link w:val="stbilgi"/>
    <w:uiPriority w:val="99"/>
    <w:semiHidden/>
    <w:locked/>
    <w:rsid w:val="007C0D26"/>
    <w:rPr>
      <w:sz w:val="24"/>
      <w:szCs w:val="24"/>
    </w:rPr>
  </w:style>
  <w:style w:type="paragraph" w:customStyle="1" w:styleId="Default">
    <w:name w:val="Default"/>
    <w:uiPriority w:val="99"/>
    <w:rsid w:val="00060CB2"/>
    <w:pPr>
      <w:autoSpaceDE w:val="0"/>
      <w:autoSpaceDN w:val="0"/>
      <w:adjustRightInd w:val="0"/>
    </w:pPr>
    <w:rPr>
      <w:rFonts w:ascii="Tahoma" w:hAnsi="Tahoma" w:cs="Tahoma"/>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1478648980">
      <w:marLeft w:val="0"/>
      <w:marRight w:val="0"/>
      <w:marTop w:val="0"/>
      <w:marBottom w:val="0"/>
      <w:divBdr>
        <w:top w:val="none" w:sz="0" w:space="0" w:color="auto"/>
        <w:left w:val="none" w:sz="0" w:space="0" w:color="auto"/>
        <w:bottom w:val="none" w:sz="0" w:space="0" w:color="auto"/>
        <w:right w:val="none" w:sz="0" w:space="0" w:color="auto"/>
      </w:divBdr>
    </w:div>
    <w:div w:id="1478648981">
      <w:marLeft w:val="0"/>
      <w:marRight w:val="0"/>
      <w:marTop w:val="0"/>
      <w:marBottom w:val="0"/>
      <w:divBdr>
        <w:top w:val="none" w:sz="0" w:space="0" w:color="auto"/>
        <w:left w:val="none" w:sz="0" w:space="0" w:color="auto"/>
        <w:bottom w:val="none" w:sz="0" w:space="0" w:color="auto"/>
        <w:right w:val="none" w:sz="0" w:space="0" w:color="auto"/>
      </w:divBdr>
    </w:div>
    <w:div w:id="1478648982">
      <w:marLeft w:val="0"/>
      <w:marRight w:val="0"/>
      <w:marTop w:val="0"/>
      <w:marBottom w:val="0"/>
      <w:divBdr>
        <w:top w:val="none" w:sz="0" w:space="0" w:color="auto"/>
        <w:left w:val="none" w:sz="0" w:space="0" w:color="auto"/>
        <w:bottom w:val="none" w:sz="0" w:space="0" w:color="auto"/>
        <w:right w:val="none" w:sz="0" w:space="0" w:color="auto"/>
      </w:divBdr>
    </w:div>
    <w:div w:id="1478648983">
      <w:marLeft w:val="0"/>
      <w:marRight w:val="0"/>
      <w:marTop w:val="0"/>
      <w:marBottom w:val="0"/>
      <w:divBdr>
        <w:top w:val="none" w:sz="0" w:space="0" w:color="auto"/>
        <w:left w:val="none" w:sz="0" w:space="0" w:color="auto"/>
        <w:bottom w:val="none" w:sz="0" w:space="0" w:color="auto"/>
        <w:right w:val="none" w:sz="0" w:space="0" w:color="auto"/>
      </w:divBdr>
    </w:div>
    <w:div w:id="1478648984">
      <w:marLeft w:val="0"/>
      <w:marRight w:val="0"/>
      <w:marTop w:val="0"/>
      <w:marBottom w:val="0"/>
      <w:divBdr>
        <w:top w:val="none" w:sz="0" w:space="0" w:color="auto"/>
        <w:left w:val="none" w:sz="0" w:space="0" w:color="auto"/>
        <w:bottom w:val="none" w:sz="0" w:space="0" w:color="auto"/>
        <w:right w:val="none" w:sz="0" w:space="0" w:color="auto"/>
      </w:divBdr>
    </w:div>
    <w:div w:id="1478648985">
      <w:marLeft w:val="0"/>
      <w:marRight w:val="0"/>
      <w:marTop w:val="0"/>
      <w:marBottom w:val="0"/>
      <w:divBdr>
        <w:top w:val="none" w:sz="0" w:space="0" w:color="auto"/>
        <w:left w:val="none" w:sz="0" w:space="0" w:color="auto"/>
        <w:bottom w:val="none" w:sz="0" w:space="0" w:color="auto"/>
        <w:right w:val="none" w:sz="0" w:space="0" w:color="auto"/>
      </w:divBdr>
    </w:div>
    <w:div w:id="1478648986">
      <w:marLeft w:val="0"/>
      <w:marRight w:val="0"/>
      <w:marTop w:val="0"/>
      <w:marBottom w:val="0"/>
      <w:divBdr>
        <w:top w:val="none" w:sz="0" w:space="0" w:color="auto"/>
        <w:left w:val="none" w:sz="0" w:space="0" w:color="auto"/>
        <w:bottom w:val="none" w:sz="0" w:space="0" w:color="auto"/>
        <w:right w:val="none" w:sz="0" w:space="0" w:color="auto"/>
      </w:divBdr>
    </w:div>
    <w:div w:id="1478648987">
      <w:marLeft w:val="0"/>
      <w:marRight w:val="0"/>
      <w:marTop w:val="0"/>
      <w:marBottom w:val="0"/>
      <w:divBdr>
        <w:top w:val="none" w:sz="0" w:space="0" w:color="auto"/>
        <w:left w:val="none" w:sz="0" w:space="0" w:color="auto"/>
        <w:bottom w:val="none" w:sz="0" w:space="0" w:color="auto"/>
        <w:right w:val="none" w:sz="0" w:space="0" w:color="auto"/>
      </w:divBdr>
    </w:div>
    <w:div w:id="1478648988">
      <w:marLeft w:val="0"/>
      <w:marRight w:val="0"/>
      <w:marTop w:val="0"/>
      <w:marBottom w:val="0"/>
      <w:divBdr>
        <w:top w:val="none" w:sz="0" w:space="0" w:color="auto"/>
        <w:left w:val="none" w:sz="0" w:space="0" w:color="auto"/>
        <w:bottom w:val="none" w:sz="0" w:space="0" w:color="auto"/>
        <w:right w:val="none" w:sz="0" w:space="0" w:color="auto"/>
      </w:divBdr>
    </w:div>
    <w:div w:id="1478648989">
      <w:marLeft w:val="0"/>
      <w:marRight w:val="0"/>
      <w:marTop w:val="0"/>
      <w:marBottom w:val="0"/>
      <w:divBdr>
        <w:top w:val="none" w:sz="0" w:space="0" w:color="auto"/>
        <w:left w:val="none" w:sz="0" w:space="0" w:color="auto"/>
        <w:bottom w:val="none" w:sz="0" w:space="0" w:color="auto"/>
        <w:right w:val="none" w:sz="0" w:space="0" w:color="auto"/>
      </w:divBdr>
    </w:div>
    <w:div w:id="1478648990">
      <w:marLeft w:val="0"/>
      <w:marRight w:val="0"/>
      <w:marTop w:val="0"/>
      <w:marBottom w:val="0"/>
      <w:divBdr>
        <w:top w:val="none" w:sz="0" w:space="0" w:color="auto"/>
        <w:left w:val="none" w:sz="0" w:space="0" w:color="auto"/>
        <w:bottom w:val="none" w:sz="0" w:space="0" w:color="auto"/>
        <w:right w:val="none" w:sz="0" w:space="0" w:color="auto"/>
      </w:divBdr>
    </w:div>
    <w:div w:id="1478648991">
      <w:marLeft w:val="0"/>
      <w:marRight w:val="0"/>
      <w:marTop w:val="0"/>
      <w:marBottom w:val="0"/>
      <w:divBdr>
        <w:top w:val="none" w:sz="0" w:space="0" w:color="auto"/>
        <w:left w:val="none" w:sz="0" w:space="0" w:color="auto"/>
        <w:bottom w:val="none" w:sz="0" w:space="0" w:color="auto"/>
        <w:right w:val="none" w:sz="0" w:space="0" w:color="auto"/>
      </w:divBdr>
    </w:div>
    <w:div w:id="1478648992">
      <w:marLeft w:val="0"/>
      <w:marRight w:val="0"/>
      <w:marTop w:val="0"/>
      <w:marBottom w:val="0"/>
      <w:divBdr>
        <w:top w:val="none" w:sz="0" w:space="0" w:color="auto"/>
        <w:left w:val="none" w:sz="0" w:space="0" w:color="auto"/>
        <w:bottom w:val="none" w:sz="0" w:space="0" w:color="auto"/>
        <w:right w:val="none" w:sz="0" w:space="0" w:color="auto"/>
      </w:divBdr>
    </w:div>
    <w:div w:id="1478648993">
      <w:marLeft w:val="0"/>
      <w:marRight w:val="0"/>
      <w:marTop w:val="0"/>
      <w:marBottom w:val="0"/>
      <w:divBdr>
        <w:top w:val="none" w:sz="0" w:space="0" w:color="auto"/>
        <w:left w:val="none" w:sz="0" w:space="0" w:color="auto"/>
        <w:bottom w:val="none" w:sz="0" w:space="0" w:color="auto"/>
        <w:right w:val="none" w:sz="0" w:space="0" w:color="auto"/>
      </w:divBdr>
    </w:div>
    <w:div w:id="1478648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gokce.uysal@bahce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Bireylerin çalışmalarının karşılığında aldıkları ücretler, gelirlerinin büyük kısmını oluşturmaktadır</vt:lpstr>
    </vt:vector>
  </TitlesOfParts>
  <Company>unv</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Bireylerin çalışmalarının karşılığında aldıkları ücretler, gelirlerinin büyük kısmını oluşturmaktadır</dc:title>
  <dc:subject/>
  <dc:creator>merve.yigityontar</dc:creator>
  <cp:keywords/>
  <dc:description/>
  <cp:lastModifiedBy>merve.akgul</cp:lastModifiedBy>
  <cp:revision>3</cp:revision>
  <cp:lastPrinted>2012-12-28T13:00:00Z</cp:lastPrinted>
  <dcterms:created xsi:type="dcterms:W3CDTF">2013-02-06T10:02:00Z</dcterms:created>
  <dcterms:modified xsi:type="dcterms:W3CDTF">2013-06-19T07:25:00Z</dcterms:modified>
</cp:coreProperties>
</file>