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8A9" w:rsidRDefault="00E821CF" w:rsidP="00AE0BBB">
      <w:pPr>
        <w:spacing w:line="288" w:lineRule="auto"/>
        <w:ind w:right="-319"/>
        <w:jc w:val="center"/>
        <w:rPr>
          <w:rFonts w:ascii="Arial" w:hAnsi="Arial" w:cs="Arial"/>
          <w:b/>
          <w:bCs/>
          <w:sz w:val="20"/>
          <w:szCs w:val="20"/>
        </w:rPr>
      </w:pPr>
      <w:r w:rsidRPr="00E821CF">
        <w:rPr>
          <w:noProof/>
        </w:rPr>
        <w:pict>
          <v:shapetype id="_x0000_t202" coordsize="21600,21600" o:spt="202" path="m,l,21600r21600,l21600,xe">
            <v:stroke joinstyle="miter"/>
            <v:path gradientshapeok="t" o:connecttype="rect"/>
          </v:shapetype>
          <v:shape id="_x0000_s1026" type="#_x0000_t202" style="position:absolute;left:0;text-align:left;margin-left:99pt;margin-top:0;width:342pt;height:45pt;z-index:251657216;mso-wrap-distance-left:9.05pt;mso-wrap-distance-right:9.05pt" stroked="f">
            <v:fill opacity="0" color2="black"/>
            <v:textbox style="mso-next-textbox:#_x0000_s1026" inset="0,0,0,0">
              <w:txbxContent>
                <w:p w:rsidR="001008A9" w:rsidRDefault="001008A9" w:rsidP="00803E3E">
                  <w:pPr>
                    <w:pStyle w:val="Balk1"/>
                    <w:rPr>
                      <w:rFonts w:ascii="Times New Roman" w:hAnsi="Times New Roman" w:cs="Times New Roman"/>
                      <w:sz w:val="40"/>
                      <w:szCs w:val="40"/>
                    </w:rPr>
                  </w:pPr>
                  <w:r w:rsidRPr="00803E3E">
                    <w:rPr>
                      <w:rFonts w:ascii="Times New Roman" w:hAnsi="Times New Roman" w:cs="Times New Roman"/>
                      <w:sz w:val="40"/>
                      <w:szCs w:val="40"/>
                    </w:rPr>
                    <w:t xml:space="preserve">Büyüme </w:t>
                  </w:r>
                  <w:r>
                    <w:rPr>
                      <w:rFonts w:ascii="Times New Roman" w:hAnsi="Times New Roman" w:cs="Times New Roman"/>
                      <w:sz w:val="40"/>
                      <w:szCs w:val="40"/>
                    </w:rPr>
                    <w:t>Değerlendirmesi</w:t>
                  </w:r>
                  <w:r w:rsidRPr="00803E3E">
                    <w:rPr>
                      <w:rFonts w:ascii="Times New Roman" w:hAnsi="Times New Roman" w:cs="Times New Roman"/>
                      <w:sz w:val="40"/>
                      <w:szCs w:val="40"/>
                    </w:rPr>
                    <w:t xml:space="preserve"> : </w:t>
                  </w:r>
                </w:p>
                <w:p w:rsidR="001008A9" w:rsidRPr="00803E3E" w:rsidRDefault="001008A9" w:rsidP="00803E3E">
                  <w:pPr>
                    <w:pStyle w:val="Balk1"/>
                    <w:rPr>
                      <w:rFonts w:ascii="Times New Roman" w:hAnsi="Times New Roman" w:cs="Times New Roman"/>
                      <w:sz w:val="40"/>
                      <w:szCs w:val="40"/>
                    </w:rPr>
                  </w:pPr>
                  <w:r>
                    <w:rPr>
                      <w:rFonts w:ascii="Times New Roman" w:hAnsi="Times New Roman" w:cs="Times New Roman"/>
                      <w:sz w:val="40"/>
                      <w:szCs w:val="40"/>
                    </w:rPr>
                    <w:t>2012 2</w:t>
                  </w:r>
                  <w:r w:rsidRPr="00803E3E">
                    <w:rPr>
                      <w:rFonts w:ascii="Times New Roman" w:hAnsi="Times New Roman" w:cs="Times New Roman"/>
                      <w:sz w:val="40"/>
                      <w:szCs w:val="40"/>
                    </w:rPr>
                    <w:t>. Çeyrek</w:t>
                  </w:r>
                </w:p>
                <w:p w:rsidR="001008A9" w:rsidRPr="00526178" w:rsidRDefault="001008A9" w:rsidP="007750EF">
                  <w:pPr>
                    <w:pStyle w:val="Balk2"/>
                    <w:rPr>
                      <w:b w:val="0"/>
                      <w:bCs w:val="0"/>
                      <w:i w:val="0"/>
                      <w:iCs w:val="0"/>
                    </w:rPr>
                  </w:pPr>
                </w:p>
              </w:txbxContent>
            </v:textbox>
          </v:shape>
        </w:pict>
      </w:r>
      <w:r w:rsidRPr="00E821CF">
        <w:rPr>
          <w:noProof/>
        </w:rPr>
        <w:pict>
          <v:shape id="_x0000_s1027" type="#_x0000_t202" style="position:absolute;left:0;text-align:left;margin-left:376.7pt;margin-top:51.45pt;width:134.8pt;height:35.8pt;z-index:251658240;mso-wrap-distance-left:9.05pt;mso-wrap-distance-right:9.05pt" stroked="f">
            <v:fill opacity="0" color2="black"/>
            <v:textbox style="mso-next-textbox:#_x0000_s1027" inset="0,0,0,0">
              <w:txbxContent>
                <w:p w:rsidR="001008A9" w:rsidRDefault="001008A9" w:rsidP="007750EF">
                  <w:pPr>
                    <w:pStyle w:val="Balk3"/>
                    <w:rPr>
                      <w:color w:val="FFFFFF"/>
                      <w:sz w:val="22"/>
                      <w:szCs w:val="22"/>
                      <w:lang w:val="tr-TR"/>
                    </w:rPr>
                  </w:pPr>
                  <w:r>
                    <w:rPr>
                      <w:color w:val="FFFFFF"/>
                      <w:sz w:val="22"/>
                      <w:szCs w:val="22"/>
                    </w:rPr>
                    <w:t xml:space="preserve">                      10.09.</w:t>
                  </w:r>
                  <w:r>
                    <w:rPr>
                      <w:color w:val="FFFFFF"/>
                      <w:sz w:val="22"/>
                      <w:szCs w:val="22"/>
                      <w:lang w:val="tr-TR"/>
                    </w:rPr>
                    <w:t>2012</w:t>
                  </w:r>
                </w:p>
                <w:p w:rsidR="001008A9" w:rsidRDefault="001008A9" w:rsidP="007750EF"/>
              </w:txbxContent>
            </v:textbox>
          </v:shape>
        </w:pict>
      </w:r>
      <w:r w:rsidR="002E4ADD">
        <w:rPr>
          <w:noProof/>
        </w:rPr>
        <w:drawing>
          <wp:anchor distT="0" distB="0" distL="114300" distR="114300" simplePos="0" relativeHeight="251656192" behindDoc="1" locked="0" layoutInCell="1" allowOverlap="1">
            <wp:simplePos x="0" y="0"/>
            <wp:positionH relativeFrom="column">
              <wp:posOffset>-800100</wp:posOffset>
            </wp:positionH>
            <wp:positionV relativeFrom="paragraph">
              <wp:posOffset>-228600</wp:posOffset>
            </wp:positionV>
            <wp:extent cx="7315200" cy="133032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rsidR="001008A9" w:rsidRDefault="001008A9" w:rsidP="00AE0BBB">
      <w:pPr>
        <w:spacing w:line="288" w:lineRule="auto"/>
        <w:ind w:right="-319"/>
        <w:jc w:val="center"/>
        <w:rPr>
          <w:rFonts w:ascii="Arial" w:hAnsi="Arial" w:cs="Arial"/>
          <w:b/>
          <w:bCs/>
          <w:sz w:val="20"/>
          <w:szCs w:val="20"/>
        </w:rPr>
      </w:pPr>
    </w:p>
    <w:p w:rsidR="001008A9" w:rsidRDefault="001008A9" w:rsidP="00AE0BBB">
      <w:pPr>
        <w:spacing w:line="288" w:lineRule="auto"/>
        <w:ind w:right="-319"/>
        <w:jc w:val="center"/>
        <w:rPr>
          <w:rFonts w:ascii="Arial" w:hAnsi="Arial" w:cs="Arial"/>
          <w:b/>
          <w:bCs/>
          <w:sz w:val="20"/>
          <w:szCs w:val="20"/>
        </w:rPr>
      </w:pPr>
    </w:p>
    <w:p w:rsidR="001008A9" w:rsidRDefault="001008A9" w:rsidP="00AE0BBB">
      <w:pPr>
        <w:spacing w:line="288" w:lineRule="auto"/>
        <w:ind w:right="-319"/>
        <w:jc w:val="center"/>
        <w:rPr>
          <w:rFonts w:ascii="Arial" w:hAnsi="Arial" w:cs="Arial"/>
          <w:b/>
          <w:bCs/>
          <w:sz w:val="20"/>
          <w:szCs w:val="20"/>
        </w:rPr>
      </w:pPr>
    </w:p>
    <w:p w:rsidR="001008A9" w:rsidRPr="0015266B" w:rsidRDefault="001008A9" w:rsidP="00AE0BBB">
      <w:pPr>
        <w:spacing w:line="288" w:lineRule="auto"/>
        <w:ind w:right="-319"/>
        <w:jc w:val="center"/>
        <w:rPr>
          <w:rFonts w:ascii="Arial" w:hAnsi="Arial" w:cs="Arial"/>
          <w:b/>
          <w:bCs/>
          <w:sz w:val="20"/>
          <w:szCs w:val="20"/>
        </w:rPr>
      </w:pPr>
    </w:p>
    <w:p w:rsidR="001008A9" w:rsidRPr="00DD51D1" w:rsidRDefault="001008A9" w:rsidP="00C805B9">
      <w:pPr>
        <w:spacing w:line="288" w:lineRule="auto"/>
        <w:ind w:right="-319"/>
        <w:jc w:val="center"/>
        <w:outlineLvl w:val="0"/>
        <w:rPr>
          <w:rFonts w:ascii="Arial" w:hAnsi="Arial" w:cs="Arial"/>
          <w:b/>
          <w:bCs/>
          <w:sz w:val="28"/>
          <w:szCs w:val="28"/>
        </w:rPr>
      </w:pPr>
    </w:p>
    <w:p w:rsidR="001008A9" w:rsidRPr="00DD51D1" w:rsidRDefault="001008A9" w:rsidP="007750EF">
      <w:pPr>
        <w:spacing w:line="288" w:lineRule="auto"/>
        <w:ind w:right="-319"/>
        <w:outlineLvl w:val="0"/>
        <w:rPr>
          <w:rFonts w:ascii="Arial" w:hAnsi="Arial" w:cs="Arial"/>
          <w:b/>
          <w:bCs/>
          <w:sz w:val="28"/>
          <w:szCs w:val="28"/>
        </w:rPr>
      </w:pPr>
    </w:p>
    <w:p w:rsidR="001008A9" w:rsidRPr="00DD51D1" w:rsidRDefault="001008A9" w:rsidP="00B00EBD">
      <w:pPr>
        <w:spacing w:line="288" w:lineRule="auto"/>
        <w:ind w:right="-319"/>
        <w:jc w:val="center"/>
        <w:outlineLvl w:val="0"/>
        <w:rPr>
          <w:rFonts w:ascii="Arial" w:hAnsi="Arial" w:cs="Arial"/>
          <w:b/>
          <w:bCs/>
          <w:color w:val="000000"/>
          <w:sz w:val="28"/>
          <w:szCs w:val="28"/>
        </w:rPr>
      </w:pPr>
      <w:r w:rsidRPr="007F41B8">
        <w:rPr>
          <w:rFonts w:ascii="Arial" w:hAnsi="Arial" w:cs="Arial"/>
          <w:b/>
          <w:bCs/>
          <w:color w:val="000000"/>
          <w:sz w:val="28"/>
          <w:szCs w:val="28"/>
        </w:rPr>
        <w:t xml:space="preserve">İÇ TALEPTE </w:t>
      </w:r>
      <w:r>
        <w:rPr>
          <w:rFonts w:ascii="Arial" w:hAnsi="Arial" w:cs="Arial"/>
          <w:b/>
          <w:bCs/>
          <w:color w:val="000000"/>
          <w:sz w:val="28"/>
          <w:szCs w:val="28"/>
        </w:rPr>
        <w:t>DARALMA DEVAM EDİYOR</w:t>
      </w:r>
    </w:p>
    <w:p w:rsidR="001008A9" w:rsidRDefault="001008A9" w:rsidP="00C805B9">
      <w:pPr>
        <w:spacing w:line="288" w:lineRule="auto"/>
        <w:ind w:right="-319"/>
        <w:jc w:val="center"/>
        <w:outlineLvl w:val="0"/>
        <w:rPr>
          <w:rFonts w:ascii="Arial" w:hAnsi="Arial" w:cs="Arial"/>
          <w:b/>
          <w:bCs/>
          <w:sz w:val="22"/>
          <w:szCs w:val="22"/>
        </w:rPr>
      </w:pPr>
    </w:p>
    <w:p w:rsidR="001008A9" w:rsidRPr="00DD51D1" w:rsidRDefault="001008A9" w:rsidP="00C805B9">
      <w:pPr>
        <w:spacing w:line="288" w:lineRule="auto"/>
        <w:ind w:right="-319"/>
        <w:jc w:val="center"/>
        <w:outlineLvl w:val="0"/>
        <w:rPr>
          <w:rFonts w:ascii="Arial" w:hAnsi="Arial" w:cs="Arial"/>
          <w:b/>
          <w:bCs/>
          <w:sz w:val="22"/>
          <w:szCs w:val="22"/>
        </w:rPr>
      </w:pPr>
    </w:p>
    <w:p w:rsidR="001008A9" w:rsidRPr="00DD51D1" w:rsidRDefault="001008A9" w:rsidP="00C805B9">
      <w:pPr>
        <w:spacing w:line="288" w:lineRule="auto"/>
        <w:ind w:right="-319"/>
        <w:jc w:val="center"/>
        <w:outlineLvl w:val="0"/>
        <w:rPr>
          <w:rFonts w:ascii="Arial" w:hAnsi="Arial" w:cs="Arial"/>
          <w:b/>
          <w:bCs/>
          <w:sz w:val="22"/>
          <w:szCs w:val="22"/>
        </w:rPr>
      </w:pPr>
      <w:r w:rsidRPr="00DD51D1">
        <w:rPr>
          <w:rFonts w:ascii="Arial" w:hAnsi="Arial" w:cs="Arial"/>
          <w:b/>
          <w:bCs/>
          <w:sz w:val="22"/>
          <w:szCs w:val="22"/>
        </w:rPr>
        <w:t>Seyfettin Gürsel</w:t>
      </w:r>
      <w:r w:rsidRPr="00DD51D1">
        <w:rPr>
          <w:rFonts w:ascii="Arial" w:hAnsi="Arial" w:cs="Arial"/>
          <w:b/>
          <w:bCs/>
          <w:sz w:val="22"/>
          <w:szCs w:val="22"/>
          <w:vertAlign w:val="superscript"/>
        </w:rPr>
        <w:t>•</w:t>
      </w:r>
      <w:r w:rsidRPr="00DD51D1">
        <w:rPr>
          <w:rFonts w:ascii="Arial" w:hAnsi="Arial" w:cs="Arial"/>
          <w:b/>
          <w:bCs/>
          <w:sz w:val="22"/>
          <w:szCs w:val="22"/>
        </w:rPr>
        <w:t>, Zümrüt İmamoğlu</w:t>
      </w:r>
      <w:r w:rsidRPr="00DD51D1">
        <w:rPr>
          <w:rFonts w:ascii="Arial" w:hAnsi="Arial" w:cs="Arial"/>
          <w:b/>
          <w:bCs/>
          <w:sz w:val="22"/>
          <w:szCs w:val="22"/>
          <w:vertAlign w:val="superscript"/>
        </w:rPr>
        <w:t xml:space="preserve">‡ </w:t>
      </w:r>
      <w:r w:rsidRPr="00DD51D1">
        <w:rPr>
          <w:rFonts w:ascii="Arial" w:hAnsi="Arial" w:cs="Arial"/>
          <w:b/>
          <w:bCs/>
          <w:sz w:val="22"/>
          <w:szCs w:val="22"/>
        </w:rPr>
        <w:t>ve Barış Soybilgen</w:t>
      </w:r>
      <w:r w:rsidRPr="00DD51D1">
        <w:rPr>
          <w:rFonts w:ascii="Arial" w:hAnsi="Arial" w:cs="Arial"/>
          <w:b/>
          <w:bCs/>
          <w:sz w:val="22"/>
          <w:szCs w:val="22"/>
          <w:vertAlign w:val="superscript"/>
        </w:rPr>
        <w:t>†</w:t>
      </w:r>
    </w:p>
    <w:p w:rsidR="001008A9" w:rsidRPr="00DD51D1" w:rsidRDefault="001008A9" w:rsidP="00AE0BBB">
      <w:pPr>
        <w:spacing w:line="288" w:lineRule="auto"/>
        <w:ind w:right="-318"/>
        <w:jc w:val="both"/>
        <w:rPr>
          <w:rFonts w:ascii="Arial" w:hAnsi="Arial" w:cs="Arial"/>
          <w:b/>
          <w:bCs/>
          <w:sz w:val="20"/>
          <w:szCs w:val="20"/>
        </w:rPr>
      </w:pPr>
    </w:p>
    <w:p w:rsidR="001008A9" w:rsidRDefault="001008A9" w:rsidP="00AE0BBB">
      <w:pPr>
        <w:spacing w:line="288" w:lineRule="auto"/>
        <w:ind w:right="-318"/>
        <w:jc w:val="both"/>
        <w:rPr>
          <w:rFonts w:ascii="Arial" w:hAnsi="Arial" w:cs="Arial"/>
          <w:b/>
          <w:bCs/>
          <w:sz w:val="20"/>
          <w:szCs w:val="20"/>
        </w:rPr>
      </w:pPr>
    </w:p>
    <w:p w:rsidR="001008A9" w:rsidRPr="00DD51D1" w:rsidRDefault="001008A9" w:rsidP="00AE0BBB">
      <w:pPr>
        <w:spacing w:line="288" w:lineRule="auto"/>
        <w:ind w:right="-318"/>
        <w:jc w:val="both"/>
        <w:rPr>
          <w:rFonts w:ascii="Arial" w:hAnsi="Arial" w:cs="Arial"/>
          <w:b/>
          <w:bCs/>
          <w:sz w:val="20"/>
          <w:szCs w:val="20"/>
        </w:rPr>
        <w:sectPr w:rsidR="001008A9" w:rsidRPr="00DD51D1" w:rsidSect="007750EF">
          <w:footerReference w:type="default" r:id="rId9"/>
          <w:footnotePr>
            <w:numFmt w:val="chicago"/>
          </w:footnotePr>
          <w:pgSz w:w="11906" w:h="16838"/>
          <w:pgMar w:top="719" w:right="1417" w:bottom="1417" w:left="1417" w:header="708" w:footer="708" w:gutter="0"/>
          <w:cols w:space="709"/>
          <w:docGrid w:linePitch="360"/>
        </w:sectPr>
      </w:pPr>
    </w:p>
    <w:p w:rsidR="001008A9" w:rsidRPr="00DD51D1" w:rsidRDefault="001008A9" w:rsidP="00110EBA">
      <w:pPr>
        <w:pStyle w:val="NormalWeb"/>
        <w:spacing w:before="0" w:beforeAutospacing="0" w:after="0" w:afterAutospacing="0"/>
        <w:jc w:val="both"/>
        <w:rPr>
          <w:rFonts w:ascii="Arial" w:hAnsi="Arial" w:cs="Arial"/>
          <w:sz w:val="22"/>
          <w:szCs w:val="22"/>
        </w:rPr>
      </w:pPr>
    </w:p>
    <w:p w:rsidR="001008A9" w:rsidRPr="00DD51D1" w:rsidRDefault="001008A9" w:rsidP="001C629C">
      <w:pPr>
        <w:pStyle w:val="NormalWeb"/>
        <w:spacing w:before="0" w:beforeAutospacing="0" w:after="0" w:afterAutospacing="0"/>
        <w:jc w:val="center"/>
        <w:rPr>
          <w:rFonts w:ascii="Arial" w:hAnsi="Arial" w:cs="Arial"/>
          <w:b/>
          <w:bCs/>
          <w:sz w:val="22"/>
          <w:szCs w:val="22"/>
        </w:rPr>
      </w:pPr>
      <w:r w:rsidRPr="00DD51D1">
        <w:rPr>
          <w:rFonts w:ascii="Arial" w:hAnsi="Arial" w:cs="Arial"/>
          <w:b/>
          <w:bCs/>
          <w:sz w:val="22"/>
          <w:szCs w:val="22"/>
        </w:rPr>
        <w:t>Yönetici özeti</w:t>
      </w:r>
    </w:p>
    <w:p w:rsidR="001008A9" w:rsidRPr="00DD51D1" w:rsidRDefault="001008A9" w:rsidP="0058797D">
      <w:pPr>
        <w:pStyle w:val="NormalWeb"/>
        <w:spacing w:before="0" w:beforeAutospacing="0" w:after="0" w:afterAutospacing="0"/>
        <w:rPr>
          <w:rFonts w:ascii="Arial" w:hAnsi="Arial" w:cs="Arial"/>
          <w:b/>
          <w:bCs/>
          <w:sz w:val="22"/>
          <w:szCs w:val="22"/>
        </w:rPr>
      </w:pPr>
    </w:p>
    <w:p w:rsidR="001008A9" w:rsidRDefault="001008A9" w:rsidP="00C12209">
      <w:pPr>
        <w:pStyle w:val="NormalWeb"/>
        <w:spacing w:before="0" w:beforeAutospacing="0" w:after="0" w:afterAutospacing="0" w:line="300" w:lineRule="atLeast"/>
        <w:jc w:val="both"/>
        <w:rPr>
          <w:rFonts w:ascii="Arial" w:hAnsi="Arial" w:cs="Arial"/>
          <w:sz w:val="20"/>
          <w:szCs w:val="20"/>
        </w:rPr>
      </w:pPr>
      <w:r w:rsidRPr="00DD51D1">
        <w:rPr>
          <w:rFonts w:ascii="Arial" w:hAnsi="Arial" w:cs="Arial"/>
          <w:sz w:val="20"/>
          <w:szCs w:val="20"/>
        </w:rPr>
        <w:t>TÜİK'in bugün açıkladığı rakamlara gör</w:t>
      </w:r>
      <w:r>
        <w:rPr>
          <w:rFonts w:ascii="Arial" w:hAnsi="Arial" w:cs="Arial"/>
          <w:sz w:val="20"/>
          <w:szCs w:val="20"/>
        </w:rPr>
        <w:t>e Gayri Safi Yurtiçi Hasıla (GSYH) 2012</w:t>
      </w:r>
      <w:r w:rsidRPr="00DD51D1">
        <w:rPr>
          <w:rFonts w:ascii="Arial" w:hAnsi="Arial" w:cs="Arial"/>
          <w:sz w:val="20"/>
          <w:szCs w:val="20"/>
        </w:rPr>
        <w:t xml:space="preserve"> </w:t>
      </w:r>
      <w:r>
        <w:rPr>
          <w:rFonts w:ascii="Arial" w:hAnsi="Arial" w:cs="Arial"/>
          <w:sz w:val="20"/>
          <w:szCs w:val="20"/>
        </w:rPr>
        <w:t>ikinci</w:t>
      </w:r>
      <w:r w:rsidRPr="00DD51D1">
        <w:rPr>
          <w:rFonts w:ascii="Arial" w:hAnsi="Arial" w:cs="Arial"/>
          <w:sz w:val="20"/>
          <w:szCs w:val="20"/>
        </w:rPr>
        <w:t xml:space="preserve"> çeyreğinde bir önceki yılın aynı </w:t>
      </w:r>
      <w:r>
        <w:rPr>
          <w:rFonts w:ascii="Arial" w:hAnsi="Arial" w:cs="Arial"/>
          <w:sz w:val="20"/>
          <w:szCs w:val="20"/>
        </w:rPr>
        <w:t>çeyreğine</w:t>
      </w:r>
      <w:r w:rsidRPr="00DD51D1">
        <w:rPr>
          <w:rFonts w:ascii="Arial" w:hAnsi="Arial" w:cs="Arial"/>
          <w:sz w:val="20"/>
          <w:szCs w:val="20"/>
        </w:rPr>
        <w:t xml:space="preserve"> kıyasla yüzde </w:t>
      </w:r>
      <w:r>
        <w:rPr>
          <w:rFonts w:ascii="Arial" w:hAnsi="Arial" w:cs="Arial"/>
          <w:sz w:val="20"/>
          <w:szCs w:val="20"/>
        </w:rPr>
        <w:t>2</w:t>
      </w:r>
      <w:r w:rsidRPr="00DD51D1">
        <w:rPr>
          <w:rFonts w:ascii="Arial" w:hAnsi="Arial" w:cs="Arial"/>
          <w:sz w:val="20"/>
          <w:szCs w:val="20"/>
        </w:rPr>
        <w:t>,</w:t>
      </w:r>
      <w:r>
        <w:rPr>
          <w:rFonts w:ascii="Arial" w:hAnsi="Arial" w:cs="Arial"/>
          <w:sz w:val="20"/>
          <w:szCs w:val="20"/>
        </w:rPr>
        <w:t>9</w:t>
      </w:r>
      <w:r w:rsidRPr="00DD51D1">
        <w:rPr>
          <w:rFonts w:ascii="Arial" w:hAnsi="Arial" w:cs="Arial"/>
          <w:sz w:val="20"/>
          <w:szCs w:val="20"/>
        </w:rPr>
        <w:t xml:space="preserve"> büyüdü. 201</w:t>
      </w:r>
      <w:r>
        <w:rPr>
          <w:rFonts w:ascii="Arial" w:hAnsi="Arial" w:cs="Arial"/>
          <w:sz w:val="20"/>
          <w:szCs w:val="20"/>
        </w:rPr>
        <w:t>1</w:t>
      </w:r>
      <w:r w:rsidRPr="00DD51D1">
        <w:rPr>
          <w:rFonts w:ascii="Arial" w:hAnsi="Arial" w:cs="Arial"/>
          <w:sz w:val="20"/>
          <w:szCs w:val="20"/>
        </w:rPr>
        <w:t xml:space="preserve">’in </w:t>
      </w:r>
      <w:r>
        <w:rPr>
          <w:rFonts w:ascii="Arial" w:hAnsi="Arial" w:cs="Arial"/>
          <w:sz w:val="20"/>
          <w:szCs w:val="20"/>
        </w:rPr>
        <w:t>son</w:t>
      </w:r>
      <w:r w:rsidRPr="00DD51D1">
        <w:rPr>
          <w:rFonts w:ascii="Arial" w:hAnsi="Arial" w:cs="Arial"/>
          <w:sz w:val="20"/>
          <w:szCs w:val="20"/>
        </w:rPr>
        <w:t xml:space="preserve"> çeyreğinde yıllık büyüme yüzde </w:t>
      </w:r>
      <w:r>
        <w:rPr>
          <w:rFonts w:ascii="Arial" w:hAnsi="Arial" w:cs="Arial"/>
          <w:sz w:val="20"/>
          <w:szCs w:val="20"/>
        </w:rPr>
        <w:t xml:space="preserve">8,4’ten 5,2’ye düşmüştü. İlk çeyrekte ise büyüme 3,2 oranında gerçekleşmişti. Böylece ikinci çeyrekte yıllık büyüme oranı yüzde 3’ün de altına düşmüş oldu. Yılın ilk yarısında ise büyüme hızı yüzde 3,1 oldu.  </w:t>
      </w:r>
    </w:p>
    <w:p w:rsidR="001008A9" w:rsidRDefault="001008A9" w:rsidP="004E3889">
      <w:pPr>
        <w:pStyle w:val="NormalWeb"/>
        <w:spacing w:before="0" w:beforeAutospacing="0" w:after="0" w:afterAutospacing="0" w:line="300" w:lineRule="atLeast"/>
        <w:jc w:val="both"/>
        <w:rPr>
          <w:rFonts w:ascii="Arial" w:hAnsi="Arial" w:cs="Arial"/>
          <w:sz w:val="20"/>
          <w:szCs w:val="20"/>
        </w:rPr>
      </w:pPr>
    </w:p>
    <w:p w:rsidR="001008A9" w:rsidRDefault="001008A9" w:rsidP="00470351">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 xml:space="preserve">Çeyreklik bazda ise büyüme oranında ikinci çeyrekte büyük bir artış var. Mevsim ve takvim etkisinden arındırılmış büyüme oranı geçen çeyreğe kıyasla yüzde 1,8 oldu. İlk çeyrekte ekonomi yüzde 0,4 oranında daralmıştı. Böylece Türkiye ekonomisi geçen çeyrekteki kaybı fazlasıyla telafi etti. Ancak büyüme yüksek olmasına rağmen, iç talep daralmaya devam etti. </w:t>
      </w:r>
      <w:r w:rsidRPr="00DD51D1">
        <w:rPr>
          <w:rFonts w:ascii="Arial" w:hAnsi="Arial" w:cs="Arial"/>
          <w:sz w:val="20"/>
          <w:szCs w:val="20"/>
        </w:rPr>
        <w:t>Betam</w:t>
      </w:r>
      <w:r>
        <w:rPr>
          <w:rFonts w:ascii="Arial" w:hAnsi="Arial" w:cs="Arial"/>
          <w:sz w:val="20"/>
          <w:szCs w:val="20"/>
        </w:rPr>
        <w:t xml:space="preserve">’ın büyümeyi alt kalemlerine ayırarak yaptığı mevsimsellikten arındırma analizine göre çeyrekten çeyreğe yatırım ve tüketim harcamalarında azalma gerçekleşti. Büyümenin ana kaynağı yine net ihracattaki artış oldu. </w:t>
      </w:r>
    </w:p>
    <w:p w:rsidR="001008A9" w:rsidRDefault="001008A9" w:rsidP="00C12209">
      <w:pPr>
        <w:pStyle w:val="NormalWeb"/>
        <w:spacing w:before="0" w:beforeAutospacing="0" w:after="0" w:afterAutospacing="0" w:line="300" w:lineRule="atLeast"/>
        <w:jc w:val="both"/>
        <w:rPr>
          <w:rFonts w:ascii="Arial" w:hAnsi="Arial" w:cs="Arial"/>
          <w:sz w:val="20"/>
          <w:szCs w:val="20"/>
        </w:rPr>
      </w:pPr>
    </w:p>
    <w:p w:rsidR="001008A9" w:rsidRPr="00A7746C" w:rsidRDefault="001008A9" w:rsidP="00C12209">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Ekonomideki yavaşlamaya paralel olarak cari açık hızla azalıyor. İkinci</w:t>
      </w:r>
      <w:r w:rsidRPr="00DD51D1">
        <w:rPr>
          <w:rFonts w:ascii="Arial" w:hAnsi="Arial" w:cs="Arial"/>
          <w:sz w:val="20"/>
          <w:szCs w:val="20"/>
        </w:rPr>
        <w:t xml:space="preserve"> çeyrek</w:t>
      </w:r>
      <w:r>
        <w:rPr>
          <w:rFonts w:ascii="Arial" w:hAnsi="Arial" w:cs="Arial"/>
          <w:sz w:val="20"/>
          <w:szCs w:val="20"/>
        </w:rPr>
        <w:t xml:space="preserve"> sonunda</w:t>
      </w:r>
      <w:r w:rsidRPr="00DD51D1">
        <w:rPr>
          <w:rFonts w:ascii="Arial" w:hAnsi="Arial" w:cs="Arial"/>
          <w:sz w:val="20"/>
          <w:szCs w:val="20"/>
        </w:rPr>
        <w:t xml:space="preserve"> 12 aylık cari açığın</w:t>
      </w:r>
      <w:r w:rsidRPr="00C12209">
        <w:rPr>
          <w:rFonts w:ascii="Arial" w:hAnsi="Arial" w:cs="Arial"/>
          <w:sz w:val="20"/>
          <w:szCs w:val="20"/>
        </w:rPr>
        <w:t xml:space="preserve"> </w:t>
      </w:r>
      <w:r w:rsidRPr="00DD51D1">
        <w:rPr>
          <w:rFonts w:ascii="Arial" w:hAnsi="Arial" w:cs="Arial"/>
          <w:sz w:val="20"/>
          <w:szCs w:val="20"/>
        </w:rPr>
        <w:t xml:space="preserve">GSYH’a oranı </w:t>
      </w:r>
      <w:r>
        <w:rPr>
          <w:rFonts w:ascii="Arial" w:hAnsi="Arial" w:cs="Arial"/>
          <w:sz w:val="20"/>
          <w:szCs w:val="20"/>
        </w:rPr>
        <w:t xml:space="preserve">Betam’ın tahmin ettiği gibi </w:t>
      </w:r>
      <w:r w:rsidRPr="00DD51D1">
        <w:rPr>
          <w:rFonts w:ascii="Arial" w:hAnsi="Arial" w:cs="Arial"/>
          <w:sz w:val="20"/>
          <w:szCs w:val="20"/>
        </w:rPr>
        <w:t xml:space="preserve">yüzde </w:t>
      </w:r>
      <w:r>
        <w:rPr>
          <w:rFonts w:ascii="Arial" w:hAnsi="Arial" w:cs="Arial"/>
          <w:sz w:val="20"/>
          <w:szCs w:val="20"/>
        </w:rPr>
        <w:t>8</w:t>
      </w:r>
      <w:r w:rsidRPr="00DD51D1">
        <w:rPr>
          <w:rFonts w:ascii="Arial" w:hAnsi="Arial" w:cs="Arial"/>
          <w:sz w:val="20"/>
          <w:szCs w:val="20"/>
        </w:rPr>
        <w:t>,</w:t>
      </w:r>
      <w:r>
        <w:rPr>
          <w:rFonts w:ascii="Arial" w:hAnsi="Arial" w:cs="Arial"/>
          <w:sz w:val="20"/>
          <w:szCs w:val="20"/>
        </w:rPr>
        <w:t>3</w:t>
      </w:r>
      <w:r w:rsidRPr="00DD51D1">
        <w:rPr>
          <w:rFonts w:ascii="Arial" w:hAnsi="Arial" w:cs="Arial"/>
          <w:sz w:val="20"/>
          <w:szCs w:val="20"/>
        </w:rPr>
        <w:t xml:space="preserve"> olarak gerçekleşti.</w:t>
      </w:r>
    </w:p>
    <w:p w:rsidR="001008A9" w:rsidRPr="00DD51D1" w:rsidRDefault="001008A9" w:rsidP="00470351">
      <w:pPr>
        <w:pStyle w:val="NormalWeb"/>
        <w:spacing w:before="0" w:beforeAutospacing="0" w:after="0" w:afterAutospacing="0" w:line="300" w:lineRule="atLeast"/>
        <w:jc w:val="both"/>
        <w:rPr>
          <w:rFonts w:ascii="Arial" w:hAnsi="Arial" w:cs="Arial"/>
          <w:sz w:val="20"/>
          <w:szCs w:val="20"/>
        </w:rPr>
      </w:pPr>
    </w:p>
    <w:p w:rsidR="001008A9" w:rsidRPr="00F30DA8" w:rsidRDefault="00E821CF" w:rsidP="00A7746C">
      <w:pPr>
        <w:pStyle w:val="NormalWeb"/>
        <w:spacing w:before="0" w:beforeAutospacing="0" w:after="0" w:afterAutospacing="0"/>
        <w:jc w:val="both"/>
        <w:rPr>
          <w:sz w:val="20"/>
          <w:szCs w:val="20"/>
        </w:rPr>
      </w:pPr>
      <w:r w:rsidRPr="00E821CF">
        <w:rPr>
          <w:noProof/>
        </w:rPr>
        <w:pict>
          <v:line id="_x0000_s1029" style="position:absolute;left:0;text-align:left;z-index:251659264" from="-3.85pt,3.65pt" to="230.15pt,3.65pt"/>
        </w:pict>
      </w:r>
      <w:r w:rsidR="001008A9" w:rsidRPr="00F30DA8">
        <w:rPr>
          <w:sz w:val="20"/>
          <w:szCs w:val="20"/>
        </w:rPr>
        <w:t xml:space="preserve"> </w:t>
      </w:r>
    </w:p>
    <w:p w:rsidR="001008A9" w:rsidRPr="001C5776" w:rsidRDefault="001008A9" w:rsidP="00A7746C">
      <w:pPr>
        <w:pStyle w:val="NormalWeb"/>
        <w:spacing w:before="0" w:beforeAutospacing="0" w:after="0" w:afterAutospacing="0"/>
        <w:jc w:val="both"/>
        <w:rPr>
          <w:sz w:val="20"/>
          <w:szCs w:val="20"/>
        </w:rPr>
      </w:pPr>
      <w:r w:rsidRPr="001C5776">
        <w:rPr>
          <w:sz w:val="20"/>
          <w:szCs w:val="20"/>
        </w:rPr>
        <w:t>• Prof. Dr. Seyfettin Gürsel, Betam, Direktör</w:t>
      </w:r>
    </w:p>
    <w:p w:rsidR="001008A9" w:rsidRPr="001C5776" w:rsidRDefault="001008A9" w:rsidP="00A7746C">
      <w:pPr>
        <w:pStyle w:val="NormalWeb"/>
        <w:spacing w:before="0" w:beforeAutospacing="0" w:after="0" w:afterAutospacing="0"/>
        <w:jc w:val="both"/>
        <w:rPr>
          <w:sz w:val="20"/>
          <w:szCs w:val="20"/>
        </w:rPr>
      </w:pPr>
      <w:r w:rsidRPr="001C5776">
        <w:rPr>
          <w:sz w:val="20"/>
          <w:szCs w:val="20"/>
        </w:rPr>
        <w:t xml:space="preserve">  seyfettin.gursel@bahcesehir.edu.tr</w:t>
      </w:r>
    </w:p>
    <w:p w:rsidR="001008A9" w:rsidRPr="001C5776" w:rsidRDefault="001008A9" w:rsidP="00A7746C">
      <w:pPr>
        <w:pStyle w:val="NormalWeb"/>
        <w:spacing w:before="0" w:beforeAutospacing="0" w:after="0" w:afterAutospacing="0"/>
        <w:jc w:val="both"/>
        <w:rPr>
          <w:sz w:val="20"/>
          <w:szCs w:val="20"/>
        </w:rPr>
      </w:pPr>
      <w:r w:rsidRPr="001C5776">
        <w:rPr>
          <w:sz w:val="20"/>
          <w:szCs w:val="20"/>
        </w:rPr>
        <w:t>‡ Dr. Zümrüt İmamoğlu, Betam, Uzman Araştırmacı.</w:t>
      </w:r>
    </w:p>
    <w:p w:rsidR="001008A9" w:rsidRPr="001C5776" w:rsidRDefault="001008A9" w:rsidP="00A7746C">
      <w:pPr>
        <w:pStyle w:val="NormalWeb"/>
        <w:spacing w:before="0" w:beforeAutospacing="0" w:after="0" w:afterAutospacing="0"/>
        <w:jc w:val="both"/>
        <w:rPr>
          <w:sz w:val="20"/>
          <w:szCs w:val="20"/>
        </w:rPr>
      </w:pPr>
      <w:r w:rsidRPr="001C5776">
        <w:rPr>
          <w:sz w:val="20"/>
          <w:szCs w:val="20"/>
        </w:rPr>
        <w:t xml:space="preserve">  zumrut.imamoglu@bahcesehir.edu.tr</w:t>
      </w:r>
    </w:p>
    <w:p w:rsidR="001008A9" w:rsidRPr="001C5776" w:rsidRDefault="001008A9" w:rsidP="00A7746C">
      <w:pPr>
        <w:pStyle w:val="NormalWeb"/>
        <w:spacing w:before="0" w:beforeAutospacing="0" w:after="0" w:afterAutospacing="0"/>
        <w:jc w:val="both"/>
        <w:rPr>
          <w:sz w:val="20"/>
          <w:szCs w:val="20"/>
        </w:rPr>
      </w:pPr>
      <w:r w:rsidRPr="001C5776">
        <w:rPr>
          <w:sz w:val="20"/>
          <w:szCs w:val="20"/>
        </w:rPr>
        <w:t>† Barış Soybilgen, Betam, Araştırma Görevlisi.</w:t>
      </w:r>
    </w:p>
    <w:p w:rsidR="001008A9" w:rsidRPr="001C5776" w:rsidRDefault="001008A9" w:rsidP="00A7746C">
      <w:pPr>
        <w:pStyle w:val="NormalWeb"/>
        <w:spacing w:before="0" w:beforeAutospacing="0" w:after="0" w:afterAutospacing="0"/>
        <w:jc w:val="both"/>
        <w:rPr>
          <w:sz w:val="20"/>
          <w:szCs w:val="20"/>
        </w:rPr>
      </w:pPr>
      <w:r w:rsidRPr="001C5776">
        <w:rPr>
          <w:sz w:val="20"/>
          <w:szCs w:val="20"/>
        </w:rPr>
        <w:t xml:space="preserve">  baris.soybilgen@bahcesehir.edu.tr</w:t>
      </w:r>
    </w:p>
    <w:p w:rsidR="001008A9" w:rsidRDefault="001008A9" w:rsidP="002548F5">
      <w:pPr>
        <w:ind w:right="77"/>
        <w:jc w:val="both"/>
        <w:rPr>
          <w:rFonts w:ascii="Arial" w:hAnsi="Arial" w:cs="Arial"/>
          <w:b/>
          <w:bCs/>
          <w:sz w:val="20"/>
          <w:szCs w:val="20"/>
        </w:rPr>
      </w:pPr>
    </w:p>
    <w:p w:rsidR="001008A9" w:rsidRDefault="001008A9" w:rsidP="002548F5">
      <w:pPr>
        <w:ind w:right="77"/>
        <w:jc w:val="both"/>
        <w:rPr>
          <w:rFonts w:ascii="Arial" w:hAnsi="Arial" w:cs="Arial"/>
          <w:b/>
          <w:bCs/>
          <w:sz w:val="20"/>
          <w:szCs w:val="20"/>
        </w:rPr>
      </w:pPr>
    </w:p>
    <w:p w:rsidR="001008A9" w:rsidRDefault="001008A9" w:rsidP="002548F5">
      <w:pPr>
        <w:ind w:right="77"/>
        <w:jc w:val="both"/>
        <w:rPr>
          <w:rFonts w:ascii="Arial" w:hAnsi="Arial" w:cs="Arial"/>
          <w:b/>
          <w:bCs/>
          <w:sz w:val="20"/>
          <w:szCs w:val="20"/>
        </w:rPr>
      </w:pPr>
    </w:p>
    <w:p w:rsidR="001008A9" w:rsidRDefault="001008A9" w:rsidP="002548F5">
      <w:pPr>
        <w:ind w:right="77"/>
        <w:jc w:val="both"/>
        <w:rPr>
          <w:rFonts w:ascii="Arial" w:hAnsi="Arial" w:cs="Arial"/>
          <w:b/>
          <w:bCs/>
          <w:sz w:val="20"/>
          <w:szCs w:val="20"/>
        </w:rPr>
      </w:pPr>
    </w:p>
    <w:p w:rsidR="001008A9" w:rsidRDefault="001008A9" w:rsidP="002548F5">
      <w:pPr>
        <w:ind w:right="77"/>
        <w:jc w:val="both"/>
        <w:rPr>
          <w:rFonts w:ascii="Arial" w:hAnsi="Arial" w:cs="Arial"/>
          <w:b/>
          <w:bCs/>
          <w:sz w:val="20"/>
          <w:szCs w:val="20"/>
        </w:rPr>
      </w:pPr>
    </w:p>
    <w:p w:rsidR="001008A9" w:rsidRPr="00DD51D1" w:rsidRDefault="001008A9" w:rsidP="002548F5">
      <w:pPr>
        <w:ind w:right="77"/>
        <w:jc w:val="both"/>
        <w:rPr>
          <w:rFonts w:ascii="Arial" w:hAnsi="Arial" w:cs="Arial"/>
          <w:b/>
          <w:bCs/>
          <w:sz w:val="20"/>
          <w:szCs w:val="20"/>
        </w:rPr>
      </w:pPr>
      <w:r w:rsidRPr="00DD51D1">
        <w:rPr>
          <w:rFonts w:ascii="Arial" w:hAnsi="Arial" w:cs="Arial"/>
          <w:b/>
          <w:bCs/>
          <w:sz w:val="20"/>
          <w:szCs w:val="20"/>
        </w:rPr>
        <w:t xml:space="preserve">Şekil 1: GSYH alt kalemlerinin </w:t>
      </w:r>
      <w:r>
        <w:rPr>
          <w:rFonts w:ascii="Arial" w:hAnsi="Arial" w:cs="Arial"/>
          <w:b/>
          <w:bCs/>
          <w:sz w:val="20"/>
          <w:szCs w:val="20"/>
        </w:rPr>
        <w:t xml:space="preserve">2012 1. çeyrekten 2012 2. çeyreğe </w:t>
      </w:r>
      <w:r w:rsidRPr="00DD51D1">
        <w:rPr>
          <w:rFonts w:ascii="Arial" w:hAnsi="Arial" w:cs="Arial"/>
          <w:b/>
          <w:bCs/>
          <w:sz w:val="20"/>
          <w:szCs w:val="20"/>
        </w:rPr>
        <w:t xml:space="preserve">değişimleri </w:t>
      </w:r>
    </w:p>
    <w:p w:rsidR="001008A9" w:rsidRPr="00DB5757" w:rsidRDefault="002E4ADD" w:rsidP="00660DE2">
      <w:pPr>
        <w:ind w:right="77"/>
        <w:jc w:val="both"/>
      </w:pPr>
      <w:r>
        <w:rPr>
          <w:noProof/>
        </w:rPr>
        <w:drawing>
          <wp:inline distT="0" distB="0" distL="0" distR="0">
            <wp:extent cx="3009900" cy="1895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009900" cy="1895475"/>
                    </a:xfrm>
                    <a:prstGeom prst="rect">
                      <a:avLst/>
                    </a:prstGeom>
                    <a:noFill/>
                    <a:ln w="9525">
                      <a:noFill/>
                      <a:miter lim="800000"/>
                      <a:headEnd/>
                      <a:tailEnd/>
                    </a:ln>
                  </pic:spPr>
                </pic:pic>
              </a:graphicData>
            </a:graphic>
          </wp:inline>
        </w:drawing>
      </w:r>
    </w:p>
    <w:p w:rsidR="001008A9" w:rsidRPr="00660DE2" w:rsidRDefault="001008A9" w:rsidP="00660DE2">
      <w:pPr>
        <w:ind w:right="77"/>
        <w:jc w:val="both"/>
        <w:rPr>
          <w:rFonts w:ascii="Arial" w:hAnsi="Arial" w:cs="Arial"/>
          <w:sz w:val="16"/>
          <w:szCs w:val="16"/>
        </w:rPr>
      </w:pPr>
      <w:r w:rsidRPr="00660DE2">
        <w:rPr>
          <w:rFonts w:ascii="Arial" w:hAnsi="Arial" w:cs="Arial"/>
          <w:sz w:val="16"/>
          <w:szCs w:val="16"/>
        </w:rPr>
        <w:t>Kaynak : TÜİK, Betam. Çeyreklik göstergeler mevsim ve takvim etkisinden arındırılmıştır.</w:t>
      </w:r>
    </w:p>
    <w:p w:rsidR="001008A9" w:rsidRPr="00DD51D1" w:rsidRDefault="001008A9" w:rsidP="00DD51D1">
      <w:pPr>
        <w:spacing w:line="360" w:lineRule="auto"/>
        <w:ind w:right="77"/>
        <w:jc w:val="both"/>
        <w:rPr>
          <w:rFonts w:ascii="Arial" w:hAnsi="Arial" w:cs="Arial"/>
          <w:b/>
          <w:bCs/>
          <w:sz w:val="20"/>
          <w:szCs w:val="20"/>
        </w:rPr>
      </w:pPr>
    </w:p>
    <w:p w:rsidR="001008A9" w:rsidRPr="00DD51D1" w:rsidRDefault="001008A9" w:rsidP="002548F5">
      <w:pPr>
        <w:ind w:right="77"/>
        <w:jc w:val="both"/>
        <w:rPr>
          <w:rFonts w:ascii="Arial" w:hAnsi="Arial" w:cs="Arial"/>
          <w:b/>
          <w:bCs/>
          <w:sz w:val="20"/>
          <w:szCs w:val="20"/>
        </w:rPr>
      </w:pPr>
      <w:r w:rsidRPr="00DD51D1">
        <w:rPr>
          <w:rFonts w:ascii="Arial" w:hAnsi="Arial" w:cs="Arial"/>
          <w:b/>
          <w:bCs/>
          <w:sz w:val="20"/>
          <w:szCs w:val="20"/>
        </w:rPr>
        <w:t>Şekil 2: GSYH alt kalemlerinin</w:t>
      </w:r>
      <w:r>
        <w:rPr>
          <w:rFonts w:ascii="Arial" w:hAnsi="Arial" w:cs="Arial"/>
          <w:b/>
          <w:bCs/>
          <w:sz w:val="20"/>
          <w:szCs w:val="20"/>
        </w:rPr>
        <w:t xml:space="preserve"> 2011 1. çeyrekten 2012 2. çeyreğe</w:t>
      </w:r>
      <w:r w:rsidRPr="00DD51D1">
        <w:rPr>
          <w:rFonts w:ascii="Arial" w:hAnsi="Arial" w:cs="Arial"/>
          <w:b/>
          <w:bCs/>
          <w:sz w:val="20"/>
          <w:szCs w:val="20"/>
        </w:rPr>
        <w:t xml:space="preserve"> GSYH büyümesine katkıları</w:t>
      </w:r>
    </w:p>
    <w:p w:rsidR="001008A9" w:rsidRDefault="002E4ADD" w:rsidP="001C5776">
      <w:pPr>
        <w:ind w:right="77"/>
        <w:jc w:val="both"/>
      </w:pPr>
      <w:r>
        <w:rPr>
          <w:noProof/>
        </w:rPr>
        <w:drawing>
          <wp:inline distT="0" distB="0" distL="0" distR="0">
            <wp:extent cx="3000375" cy="20859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000375" cy="2085975"/>
                    </a:xfrm>
                    <a:prstGeom prst="rect">
                      <a:avLst/>
                    </a:prstGeom>
                    <a:noFill/>
                    <a:ln w="9525">
                      <a:noFill/>
                      <a:miter lim="800000"/>
                      <a:headEnd/>
                      <a:tailEnd/>
                    </a:ln>
                  </pic:spPr>
                </pic:pic>
              </a:graphicData>
            </a:graphic>
          </wp:inline>
        </w:drawing>
      </w:r>
    </w:p>
    <w:p w:rsidR="001008A9" w:rsidRPr="00660DE2" w:rsidRDefault="001008A9" w:rsidP="00660DE2">
      <w:pPr>
        <w:ind w:right="77"/>
        <w:jc w:val="both"/>
        <w:rPr>
          <w:rFonts w:ascii="Arial" w:hAnsi="Arial" w:cs="Arial"/>
          <w:sz w:val="16"/>
          <w:szCs w:val="16"/>
        </w:rPr>
      </w:pPr>
      <w:r w:rsidRPr="00660DE2">
        <w:rPr>
          <w:rFonts w:ascii="Arial" w:hAnsi="Arial" w:cs="Arial"/>
          <w:sz w:val="16"/>
          <w:szCs w:val="16"/>
        </w:rPr>
        <w:t>Kaynak : TÜİK, Betam. Çeyreklik göstergeler mevsim ve takvim etkisinden arındırılmıştır.</w:t>
      </w:r>
    </w:p>
    <w:p w:rsidR="001008A9" w:rsidRDefault="001008A9" w:rsidP="00A7746C">
      <w:pPr>
        <w:pStyle w:val="NormalWeb"/>
        <w:spacing w:before="0" w:beforeAutospacing="0" w:after="0" w:afterAutospacing="0" w:line="360" w:lineRule="auto"/>
        <w:ind w:right="77"/>
        <w:rPr>
          <w:rFonts w:ascii="Arial" w:hAnsi="Arial" w:cs="Arial"/>
          <w:b/>
          <w:bCs/>
          <w:sz w:val="20"/>
          <w:szCs w:val="20"/>
        </w:rPr>
      </w:pPr>
    </w:p>
    <w:p w:rsidR="001008A9" w:rsidRDefault="001008A9" w:rsidP="00657A89">
      <w:pPr>
        <w:pStyle w:val="NormalWeb"/>
        <w:spacing w:before="0" w:beforeAutospacing="0" w:after="0" w:afterAutospacing="0" w:line="360" w:lineRule="auto"/>
        <w:jc w:val="center"/>
        <w:rPr>
          <w:rFonts w:ascii="Arial" w:hAnsi="Arial" w:cs="Arial"/>
          <w:b/>
          <w:bCs/>
          <w:sz w:val="20"/>
          <w:szCs w:val="20"/>
        </w:rPr>
      </w:pPr>
    </w:p>
    <w:p w:rsidR="001008A9" w:rsidRDefault="001008A9" w:rsidP="00657A89">
      <w:pPr>
        <w:pStyle w:val="NormalWeb"/>
        <w:spacing w:before="0" w:beforeAutospacing="0" w:after="0" w:afterAutospacing="0" w:line="360" w:lineRule="auto"/>
        <w:jc w:val="center"/>
        <w:rPr>
          <w:rFonts w:ascii="Arial" w:hAnsi="Arial" w:cs="Arial"/>
          <w:b/>
          <w:bCs/>
          <w:sz w:val="20"/>
          <w:szCs w:val="20"/>
        </w:rPr>
      </w:pPr>
    </w:p>
    <w:p w:rsidR="001008A9" w:rsidRDefault="001008A9" w:rsidP="00657A89">
      <w:pPr>
        <w:pStyle w:val="NormalWeb"/>
        <w:spacing w:before="0" w:beforeAutospacing="0" w:after="0" w:afterAutospacing="0" w:line="360" w:lineRule="auto"/>
        <w:jc w:val="center"/>
        <w:rPr>
          <w:rFonts w:ascii="Arial" w:hAnsi="Arial" w:cs="Arial"/>
          <w:b/>
          <w:bCs/>
          <w:sz w:val="20"/>
          <w:szCs w:val="20"/>
        </w:rPr>
      </w:pPr>
    </w:p>
    <w:p w:rsidR="002E4ADD" w:rsidRPr="00657A89" w:rsidRDefault="001008A9" w:rsidP="002E4ADD">
      <w:pPr>
        <w:pStyle w:val="NormalWeb"/>
        <w:spacing w:before="0" w:beforeAutospacing="0" w:after="0" w:afterAutospacing="0" w:line="360" w:lineRule="auto"/>
        <w:jc w:val="center"/>
        <w:rPr>
          <w:rFonts w:ascii="Arial" w:hAnsi="Arial" w:cs="Arial"/>
          <w:b/>
          <w:bCs/>
          <w:sz w:val="20"/>
          <w:szCs w:val="20"/>
        </w:rPr>
      </w:pPr>
      <w:r>
        <w:rPr>
          <w:rFonts w:ascii="Arial" w:hAnsi="Arial" w:cs="Arial"/>
          <w:b/>
          <w:bCs/>
          <w:sz w:val="20"/>
          <w:szCs w:val="20"/>
        </w:rPr>
        <w:lastRenderedPageBreak/>
        <w:t>İ</w:t>
      </w:r>
      <w:r w:rsidRPr="00657A89">
        <w:rPr>
          <w:rFonts w:ascii="Arial" w:hAnsi="Arial" w:cs="Arial"/>
          <w:b/>
          <w:bCs/>
          <w:sz w:val="20"/>
          <w:szCs w:val="20"/>
        </w:rPr>
        <w:t xml:space="preserve">ç talepte </w:t>
      </w:r>
      <w:r>
        <w:rPr>
          <w:rFonts w:ascii="Arial" w:hAnsi="Arial" w:cs="Arial"/>
          <w:b/>
          <w:bCs/>
          <w:sz w:val="20"/>
          <w:szCs w:val="20"/>
        </w:rPr>
        <w:t>durgunluk devam ediyor</w:t>
      </w:r>
    </w:p>
    <w:p w:rsidR="001008A9" w:rsidRDefault="001008A9" w:rsidP="00657A89">
      <w:pPr>
        <w:pStyle w:val="NormalWeb"/>
        <w:spacing w:before="0" w:beforeAutospacing="0" w:after="0" w:afterAutospacing="0" w:line="360" w:lineRule="auto"/>
        <w:jc w:val="both"/>
        <w:rPr>
          <w:rFonts w:ascii="Arial" w:hAnsi="Arial" w:cs="Arial"/>
          <w:sz w:val="20"/>
          <w:szCs w:val="20"/>
        </w:rPr>
      </w:pPr>
      <w:r w:rsidRPr="00DD51D1">
        <w:rPr>
          <w:rFonts w:ascii="Arial" w:hAnsi="Arial" w:cs="Arial"/>
          <w:sz w:val="20"/>
          <w:szCs w:val="20"/>
        </w:rPr>
        <w:t xml:space="preserve">Betam, GSYH’nın alt kalemlerinin büyümeye katkılarını çeyrekten çeyreğe hesaplayabilmek için alt kalemleri ayrı ayrı mevsim ve takvim etkisinden arındırıyor. Buna göre her bir kalemin </w:t>
      </w:r>
      <w:r>
        <w:rPr>
          <w:rFonts w:ascii="Arial" w:hAnsi="Arial" w:cs="Arial"/>
          <w:sz w:val="20"/>
          <w:szCs w:val="20"/>
        </w:rPr>
        <w:t>1</w:t>
      </w:r>
      <w:r w:rsidRPr="00DD51D1">
        <w:rPr>
          <w:rFonts w:ascii="Arial" w:hAnsi="Arial" w:cs="Arial"/>
          <w:sz w:val="20"/>
          <w:szCs w:val="20"/>
        </w:rPr>
        <w:t>. çeyrekte bir önceki çeyreğe göre değişimi ve büyümeye katkısı Şekil 1 ve Şekil 2’de gösterilmekte.</w:t>
      </w:r>
      <w:r>
        <w:rPr>
          <w:rFonts w:ascii="Arial" w:hAnsi="Arial" w:cs="Arial"/>
          <w:sz w:val="20"/>
          <w:szCs w:val="20"/>
        </w:rPr>
        <w:t xml:space="preserve"> </w:t>
      </w:r>
    </w:p>
    <w:p w:rsidR="001008A9" w:rsidRDefault="001008A9" w:rsidP="00657A89">
      <w:pPr>
        <w:pStyle w:val="NormalWeb"/>
        <w:spacing w:before="0" w:beforeAutospacing="0" w:after="0" w:afterAutospacing="0" w:line="360" w:lineRule="auto"/>
        <w:jc w:val="both"/>
        <w:rPr>
          <w:rFonts w:ascii="Arial" w:hAnsi="Arial" w:cs="Arial"/>
          <w:sz w:val="20"/>
          <w:szCs w:val="20"/>
        </w:rPr>
      </w:pPr>
    </w:p>
    <w:p w:rsidR="001008A9" w:rsidRDefault="001008A9" w:rsidP="00657A89">
      <w:pPr>
        <w:pStyle w:val="NormalWeb"/>
        <w:spacing w:before="0" w:beforeAutospacing="0" w:after="0" w:afterAutospacing="0" w:line="360" w:lineRule="auto"/>
        <w:jc w:val="both"/>
        <w:rPr>
          <w:rFonts w:ascii="Arial" w:hAnsi="Arial" w:cs="Arial"/>
          <w:sz w:val="20"/>
          <w:szCs w:val="20"/>
        </w:rPr>
      </w:pPr>
      <w:r w:rsidRPr="002E4ADD">
        <w:rPr>
          <w:rFonts w:ascii="Arial" w:hAnsi="Arial" w:cs="Arial"/>
          <w:sz w:val="20"/>
          <w:szCs w:val="20"/>
        </w:rPr>
        <w:t>Betam hesaplamalarına göre ikinci çeyrekte ekonomi birinci çeyreğe kıyasla yüzde 1,9 (TÜİK</w:t>
      </w:r>
      <w:r w:rsidR="00252DEE" w:rsidRPr="002E4ADD">
        <w:rPr>
          <w:rFonts w:ascii="Arial" w:hAnsi="Arial" w:cs="Arial"/>
          <w:sz w:val="20"/>
          <w:szCs w:val="20"/>
        </w:rPr>
        <w:t xml:space="preserve"> bu rakamı</w:t>
      </w:r>
      <w:r w:rsidRPr="002E4ADD">
        <w:rPr>
          <w:rFonts w:ascii="Arial" w:hAnsi="Arial" w:cs="Arial"/>
          <w:sz w:val="20"/>
          <w:szCs w:val="20"/>
        </w:rPr>
        <w:t xml:space="preserve"> 1,8</w:t>
      </w:r>
      <w:r w:rsidR="00252DEE" w:rsidRPr="002E4ADD">
        <w:rPr>
          <w:rFonts w:ascii="Arial" w:hAnsi="Arial" w:cs="Arial"/>
          <w:sz w:val="20"/>
          <w:szCs w:val="20"/>
        </w:rPr>
        <w:t xml:space="preserve"> olarak hesaplıyor</w:t>
      </w:r>
      <w:r w:rsidRPr="002E4ADD">
        <w:rPr>
          <w:rFonts w:ascii="Arial" w:hAnsi="Arial" w:cs="Arial"/>
          <w:sz w:val="20"/>
          <w:szCs w:val="20"/>
        </w:rPr>
        <w:t>)</w:t>
      </w:r>
      <w:r w:rsidR="00252DEE" w:rsidRPr="002E4ADD">
        <w:rPr>
          <w:rStyle w:val="DipnotBavurusu"/>
          <w:rFonts w:ascii="Arial" w:hAnsi="Arial" w:cs="Arial"/>
          <w:sz w:val="20"/>
          <w:szCs w:val="20"/>
        </w:rPr>
        <w:footnoteReference w:id="2"/>
      </w:r>
      <w:r w:rsidRPr="002E4ADD">
        <w:rPr>
          <w:rFonts w:ascii="Arial" w:hAnsi="Arial" w:cs="Arial"/>
          <w:sz w:val="20"/>
          <w:szCs w:val="20"/>
        </w:rPr>
        <w:t xml:space="preserve"> oranında büyüdü. Oldukça yüksek düzeyde gerçekleşen bu büyümeyle ilk çeyrekteki yüzde 0,4’lük daralma fazlasıyla telafi edildi</w:t>
      </w:r>
      <w:r>
        <w:rPr>
          <w:rFonts w:ascii="Arial" w:hAnsi="Arial" w:cs="Arial"/>
          <w:sz w:val="20"/>
          <w:szCs w:val="20"/>
        </w:rPr>
        <w:t>. Ancak 2012</w:t>
      </w:r>
      <w:r w:rsidRPr="00DD51D1">
        <w:rPr>
          <w:rFonts w:ascii="Arial" w:hAnsi="Arial" w:cs="Arial"/>
          <w:sz w:val="20"/>
          <w:szCs w:val="20"/>
        </w:rPr>
        <w:t xml:space="preserve"> </w:t>
      </w:r>
      <w:r>
        <w:rPr>
          <w:rFonts w:ascii="Arial" w:hAnsi="Arial" w:cs="Arial"/>
          <w:sz w:val="20"/>
          <w:szCs w:val="20"/>
        </w:rPr>
        <w:t>ikinci</w:t>
      </w:r>
      <w:r w:rsidRPr="00DD51D1">
        <w:rPr>
          <w:rFonts w:ascii="Arial" w:hAnsi="Arial" w:cs="Arial"/>
          <w:sz w:val="20"/>
          <w:szCs w:val="20"/>
        </w:rPr>
        <w:t xml:space="preserve"> çeyrekte </w:t>
      </w:r>
      <w:r>
        <w:rPr>
          <w:rFonts w:ascii="Arial" w:hAnsi="Arial" w:cs="Arial"/>
          <w:sz w:val="20"/>
          <w:szCs w:val="20"/>
        </w:rPr>
        <w:t>yatırım ve tüketim harcamalarında düşüşün sürdüğü gözlemleniyor. Kamu harcamalarında ise çok sınırlı bir artış var. Dolayısıyla büyüme yüksek olmasına rağmen iç talepte canlanma yok. Büyümenin ana kaynağı son iki çeyrekte olduğu gibi yine net ihracattaki artış oldu.</w:t>
      </w:r>
    </w:p>
    <w:p w:rsidR="001008A9" w:rsidRDefault="001008A9" w:rsidP="00657A89">
      <w:pPr>
        <w:pStyle w:val="NormalWeb"/>
        <w:spacing w:before="0" w:beforeAutospacing="0" w:after="0" w:afterAutospacing="0" w:line="360" w:lineRule="auto"/>
        <w:jc w:val="both"/>
        <w:rPr>
          <w:rFonts w:ascii="Arial" w:hAnsi="Arial" w:cs="Arial"/>
          <w:sz w:val="20"/>
          <w:szCs w:val="20"/>
        </w:rPr>
      </w:pPr>
    </w:p>
    <w:p w:rsidR="001008A9" w:rsidRPr="002E4ADD" w:rsidRDefault="001008A9" w:rsidP="002E4ADD">
      <w:pPr>
        <w:pStyle w:val="NormalWeb"/>
        <w:spacing w:before="0" w:beforeAutospacing="0" w:after="0" w:afterAutospacing="0" w:line="360" w:lineRule="auto"/>
        <w:ind w:right="77"/>
        <w:jc w:val="center"/>
        <w:rPr>
          <w:rFonts w:ascii="Arial" w:hAnsi="Arial" w:cs="Arial"/>
          <w:b/>
          <w:bCs/>
          <w:sz w:val="20"/>
          <w:szCs w:val="20"/>
        </w:rPr>
      </w:pPr>
      <w:r>
        <w:rPr>
          <w:rFonts w:ascii="Arial" w:hAnsi="Arial" w:cs="Arial"/>
          <w:b/>
          <w:bCs/>
          <w:sz w:val="20"/>
          <w:szCs w:val="20"/>
        </w:rPr>
        <w:t>Net ihracatın katkısı yüksek</w:t>
      </w:r>
    </w:p>
    <w:p w:rsidR="001008A9" w:rsidRDefault="001008A9" w:rsidP="00657A89">
      <w:pPr>
        <w:pStyle w:val="NormalWeb"/>
        <w:spacing w:before="0" w:beforeAutospacing="0" w:after="0" w:afterAutospacing="0" w:line="360" w:lineRule="auto"/>
        <w:jc w:val="both"/>
        <w:rPr>
          <w:rFonts w:ascii="Arial" w:hAnsi="Arial" w:cs="Arial"/>
          <w:sz w:val="20"/>
          <w:szCs w:val="20"/>
        </w:rPr>
      </w:pPr>
      <w:r>
        <w:rPr>
          <w:rFonts w:ascii="Arial" w:hAnsi="Arial" w:cs="Arial"/>
          <w:sz w:val="20"/>
          <w:szCs w:val="20"/>
        </w:rPr>
        <w:t>Net ihracat ihracattaki yüksek artışa dayalı olarak artıyor. İhracat 1. çeyreğe göre yüzde 7,1 arttı ve büyümeye 1,8 yüzde puan katkı yaptı. İthalat ise yüzde 1,8 artarak büyümeye -0,5 yüzde puan negatif katkı yaptı. Böylece net ihracatın çeyreklik büyümeye katkısı 1,3 yüzde puan oldu. İhracatın ithalattan daha hızlı artmasıyla cari açık oranı da hızla geriledi. 2012 ilk çeyrek sonunda GSYH’ın yüzde 9,3 oranında gerçekleşen cari açık, 2012 ikinci çeyrek sonunda Betam’ın tahmin ettiği gibi yüzde 8,3’e geriledi.</w:t>
      </w:r>
    </w:p>
    <w:p w:rsidR="001008A9" w:rsidRDefault="001008A9" w:rsidP="00DD51D1">
      <w:pPr>
        <w:pStyle w:val="NormalWeb"/>
        <w:spacing w:before="0" w:beforeAutospacing="0" w:after="0" w:afterAutospacing="0" w:line="360" w:lineRule="auto"/>
        <w:ind w:right="77"/>
        <w:jc w:val="both"/>
        <w:rPr>
          <w:rFonts w:ascii="Arial" w:hAnsi="Arial" w:cs="Arial"/>
          <w:sz w:val="20"/>
          <w:szCs w:val="20"/>
        </w:rPr>
      </w:pPr>
    </w:p>
    <w:p w:rsidR="001008A9" w:rsidRPr="00DD51D1" w:rsidRDefault="001008A9" w:rsidP="00DD51D1">
      <w:pPr>
        <w:pStyle w:val="NormalWeb"/>
        <w:spacing w:before="0" w:beforeAutospacing="0" w:after="0" w:afterAutospacing="0" w:line="360" w:lineRule="auto"/>
        <w:ind w:right="77"/>
        <w:jc w:val="center"/>
        <w:rPr>
          <w:rFonts w:ascii="Arial" w:hAnsi="Arial" w:cs="Arial"/>
          <w:b/>
          <w:bCs/>
          <w:sz w:val="20"/>
          <w:szCs w:val="20"/>
        </w:rPr>
      </w:pPr>
      <w:r w:rsidRPr="00DD51D1">
        <w:rPr>
          <w:rFonts w:ascii="Arial" w:hAnsi="Arial" w:cs="Arial"/>
          <w:b/>
          <w:bCs/>
          <w:sz w:val="20"/>
          <w:szCs w:val="20"/>
        </w:rPr>
        <w:t>Tüketim</w:t>
      </w:r>
      <w:r>
        <w:rPr>
          <w:rFonts w:ascii="Arial" w:hAnsi="Arial" w:cs="Arial"/>
          <w:b/>
          <w:bCs/>
          <w:sz w:val="20"/>
          <w:szCs w:val="20"/>
        </w:rPr>
        <w:t>de düşüş devam ediyor</w:t>
      </w:r>
    </w:p>
    <w:p w:rsidR="001008A9" w:rsidRDefault="001008A9" w:rsidP="00DD51D1">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 xml:space="preserve">Betam’ın çeyrekten çeyreğe yaptığı analize göre tüketim harcamaları 2011 son çeyreğinden beri azalıyor. Tüketim harcamaları yüzde 2012’nin ikinci çeyreğinde de düşmeye devam ederek yüzde 0,5 oranında azaldı ve büyümeyi 0,4 yüzde puan </w:t>
      </w:r>
      <w:r>
        <w:rPr>
          <w:rFonts w:ascii="Arial" w:hAnsi="Arial" w:cs="Arial"/>
          <w:sz w:val="20"/>
          <w:szCs w:val="20"/>
        </w:rPr>
        <w:lastRenderedPageBreak/>
        <w:t xml:space="preserve">düşürdü. Stoklarda ise büyük bir artış gözlemlendi. Üretim artmasına rağmen tüketimde düşüşün devam etmesi stokları arttırdı. Stok değişiminin büyümeye katkısı 1,6 yüzde puan oldu. Bugün açıklanan sanayi üretim endeksi rakamları sanayi üretiminin Temmuz ayında da arttığını gösteriyor. Yakın zamanda tüketimde canlanma meydana gelmezse bu stokların daha da fazla artmasına, daha sonra ise üretimin yavaşlamasına neden olacaktır. GSYH’ın en önemli kalemi olan tüketim harcamalarındaki durgunluk önümüzdeki dönemde Orta Vadeli Program’ın yüzde 4’lük büyüme hedefine ulaşmayı zorlaştıracaktır. </w:t>
      </w:r>
    </w:p>
    <w:p w:rsidR="001008A9" w:rsidRDefault="001008A9" w:rsidP="00334029">
      <w:pPr>
        <w:pStyle w:val="NormalWeb"/>
        <w:spacing w:before="0" w:beforeAutospacing="0" w:after="0" w:afterAutospacing="0" w:line="360" w:lineRule="auto"/>
        <w:ind w:right="77"/>
        <w:jc w:val="center"/>
        <w:rPr>
          <w:rFonts w:ascii="Arial" w:hAnsi="Arial" w:cs="Arial"/>
          <w:b/>
          <w:bCs/>
          <w:sz w:val="20"/>
          <w:szCs w:val="20"/>
        </w:rPr>
      </w:pPr>
    </w:p>
    <w:p w:rsidR="001008A9" w:rsidRPr="00DD51D1" w:rsidRDefault="001008A9" w:rsidP="00334029">
      <w:pPr>
        <w:pStyle w:val="NormalWeb"/>
        <w:spacing w:before="0" w:beforeAutospacing="0" w:after="0" w:afterAutospacing="0" w:line="360" w:lineRule="auto"/>
        <w:ind w:right="77"/>
        <w:jc w:val="center"/>
        <w:rPr>
          <w:rFonts w:ascii="Arial" w:hAnsi="Arial" w:cs="Arial"/>
          <w:b/>
          <w:bCs/>
          <w:sz w:val="20"/>
          <w:szCs w:val="20"/>
        </w:rPr>
      </w:pPr>
      <w:r>
        <w:rPr>
          <w:rFonts w:ascii="Arial" w:hAnsi="Arial" w:cs="Arial"/>
          <w:b/>
          <w:bCs/>
          <w:sz w:val="20"/>
          <w:szCs w:val="20"/>
        </w:rPr>
        <w:t>Yatırımlar azaldı</w:t>
      </w:r>
    </w:p>
    <w:p w:rsidR="001008A9" w:rsidRPr="000D79EC" w:rsidRDefault="001008A9" w:rsidP="006C2514">
      <w:pPr>
        <w:pStyle w:val="NormalWeb"/>
        <w:spacing w:before="0" w:beforeAutospacing="0" w:after="0" w:afterAutospacing="0" w:line="360" w:lineRule="auto"/>
        <w:ind w:right="77"/>
        <w:jc w:val="both"/>
        <w:rPr>
          <w:rFonts w:ascii="Arial" w:hAnsi="Arial" w:cs="Arial"/>
          <w:sz w:val="20"/>
          <w:szCs w:val="20"/>
        </w:rPr>
      </w:pPr>
      <w:r w:rsidRPr="000D79EC">
        <w:rPr>
          <w:rFonts w:ascii="Arial" w:hAnsi="Arial" w:cs="Arial"/>
          <w:sz w:val="20"/>
          <w:szCs w:val="20"/>
        </w:rPr>
        <w:t xml:space="preserve">2012 </w:t>
      </w:r>
      <w:r>
        <w:rPr>
          <w:rFonts w:ascii="Arial" w:hAnsi="Arial" w:cs="Arial"/>
          <w:sz w:val="20"/>
          <w:szCs w:val="20"/>
        </w:rPr>
        <w:t>ikinci çeyreğinde yatırım harcamalarında yüzde 3,7 oranında düşüş meydana geldi. Bu da büyümeyi 0,8 yüzde puan düşürdü. Yatırımlarda zafiyet devam ediyor. İkinci çeyrekte yatırım ortamının bozulmuş olması yılın ikinci yarısı için olumlu bir tablo çizmiyor. Yılın ilk çeyreğinde açıklanan teşvik paketinin etkisinin ortaya çıkması için henüz erken olduğunu hatırlatalım.</w:t>
      </w:r>
    </w:p>
    <w:p w:rsidR="001008A9" w:rsidRPr="00DD51D1" w:rsidRDefault="001008A9" w:rsidP="00DD51D1">
      <w:pPr>
        <w:pStyle w:val="NormalWeb"/>
        <w:spacing w:before="0" w:beforeAutospacing="0" w:after="0" w:afterAutospacing="0" w:line="360" w:lineRule="auto"/>
        <w:ind w:right="77"/>
        <w:rPr>
          <w:rFonts w:ascii="Arial" w:hAnsi="Arial" w:cs="Arial"/>
          <w:b/>
          <w:bCs/>
          <w:sz w:val="20"/>
          <w:szCs w:val="20"/>
        </w:rPr>
      </w:pPr>
    </w:p>
    <w:p w:rsidR="001008A9" w:rsidRPr="00DD51D1" w:rsidRDefault="001008A9" w:rsidP="00DD51D1">
      <w:pPr>
        <w:pStyle w:val="NormalWeb"/>
        <w:spacing w:before="0" w:beforeAutospacing="0" w:after="0" w:afterAutospacing="0" w:line="360" w:lineRule="auto"/>
        <w:ind w:right="77"/>
        <w:jc w:val="center"/>
        <w:rPr>
          <w:rFonts w:ascii="Arial" w:hAnsi="Arial" w:cs="Arial"/>
          <w:b/>
          <w:bCs/>
          <w:sz w:val="20"/>
          <w:szCs w:val="20"/>
        </w:rPr>
      </w:pPr>
      <w:r w:rsidRPr="00DD51D1">
        <w:rPr>
          <w:rFonts w:ascii="Arial" w:hAnsi="Arial" w:cs="Arial"/>
          <w:b/>
          <w:bCs/>
          <w:sz w:val="20"/>
          <w:szCs w:val="20"/>
        </w:rPr>
        <w:t xml:space="preserve">Kamu </w:t>
      </w:r>
      <w:r>
        <w:rPr>
          <w:rFonts w:ascii="Arial" w:hAnsi="Arial" w:cs="Arial"/>
          <w:b/>
          <w:bCs/>
          <w:sz w:val="20"/>
          <w:szCs w:val="20"/>
        </w:rPr>
        <w:t>kesiminin eli sıkı</w:t>
      </w:r>
    </w:p>
    <w:p w:rsidR="001008A9" w:rsidRDefault="001008A9" w:rsidP="00DD51D1">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Birinci çeyrekte kamu harcamaları geçen yılın son çeyreğine göre yalnızca yüzde 1 oranında artarak büyümeye 0,1 puan katkıda bulundu. İkinci çeyrekte hükümetin bütçe hedefini tutturma yönünde harcamaları oldukça sıkı tuttuğu anlaşılıyor. Yılın geri kalanında büyümenin düşük seyretmeye devam etmesi hükümetin bütçe disiplininden ödün vererek genişlemeci politikalar uygulaması yönünde baskıları arttırabilir.</w:t>
      </w:r>
    </w:p>
    <w:p w:rsidR="001008A9" w:rsidRPr="00DD51D1" w:rsidRDefault="001008A9" w:rsidP="00DD51D1">
      <w:pPr>
        <w:pStyle w:val="NormalWeb"/>
        <w:spacing w:before="0" w:beforeAutospacing="0" w:after="0" w:afterAutospacing="0" w:line="360" w:lineRule="auto"/>
        <w:ind w:right="77"/>
        <w:jc w:val="both"/>
        <w:rPr>
          <w:rFonts w:ascii="Arial" w:hAnsi="Arial" w:cs="Arial"/>
          <w:sz w:val="20"/>
          <w:szCs w:val="20"/>
        </w:rPr>
      </w:pPr>
    </w:p>
    <w:p w:rsidR="001008A9" w:rsidRDefault="001008A9" w:rsidP="001168BF">
      <w:pPr>
        <w:pStyle w:val="NormalWeb"/>
        <w:spacing w:before="0" w:beforeAutospacing="0" w:after="0" w:afterAutospacing="0" w:line="360" w:lineRule="auto"/>
        <w:ind w:right="77"/>
        <w:jc w:val="center"/>
        <w:rPr>
          <w:rFonts w:ascii="Arial" w:hAnsi="Arial" w:cs="Arial"/>
          <w:b/>
          <w:bCs/>
          <w:sz w:val="20"/>
          <w:szCs w:val="20"/>
        </w:rPr>
      </w:pPr>
      <w:r>
        <w:rPr>
          <w:rFonts w:ascii="Arial" w:hAnsi="Arial" w:cs="Arial"/>
          <w:b/>
          <w:bCs/>
          <w:sz w:val="20"/>
          <w:szCs w:val="20"/>
        </w:rPr>
        <w:t>Büyümenin geleceği</w:t>
      </w:r>
    </w:p>
    <w:p w:rsidR="001008A9" w:rsidRDefault="001008A9" w:rsidP="00B40C86">
      <w:pPr>
        <w:pStyle w:val="NormalWeb"/>
        <w:spacing w:before="0" w:beforeAutospacing="0" w:after="0" w:afterAutospacing="0" w:line="360" w:lineRule="auto"/>
        <w:jc w:val="both"/>
        <w:rPr>
          <w:rFonts w:ascii="Arial" w:hAnsi="Arial" w:cs="Arial"/>
          <w:sz w:val="20"/>
          <w:szCs w:val="20"/>
        </w:rPr>
      </w:pPr>
      <w:r>
        <w:rPr>
          <w:rFonts w:ascii="Arial" w:hAnsi="Arial" w:cs="Arial"/>
          <w:sz w:val="20"/>
          <w:szCs w:val="20"/>
        </w:rPr>
        <w:t xml:space="preserve">Geçtiğimiz yılın ikinci yarısından itibaren durgunlaşan iç talebe paralel olarak ekonomik büyümenin hızı azalmaya başladı. 2012 yılının ilk yarısında büyüme hızı yıllık yüzde 3,1 olarak </w:t>
      </w:r>
      <w:r w:rsidRPr="00530B03">
        <w:rPr>
          <w:rFonts w:ascii="Arial" w:hAnsi="Arial" w:cs="Arial"/>
          <w:sz w:val="20"/>
          <w:szCs w:val="20"/>
        </w:rPr>
        <w:t>gerçekleşti (Tablo 3).</w:t>
      </w:r>
      <w:r>
        <w:rPr>
          <w:rFonts w:ascii="Arial" w:hAnsi="Arial" w:cs="Arial"/>
          <w:sz w:val="20"/>
          <w:szCs w:val="20"/>
        </w:rPr>
        <w:t xml:space="preserve"> 2011’in ikinci yarısında ise yıllık bazda büyüme oranı </w:t>
      </w:r>
      <w:r>
        <w:rPr>
          <w:rFonts w:ascii="Arial" w:hAnsi="Arial" w:cs="Arial"/>
          <w:sz w:val="20"/>
          <w:szCs w:val="20"/>
        </w:rPr>
        <w:lastRenderedPageBreak/>
        <w:t>yüzde 6,8’di. Büyüme hızındaki düşüşün ana kaynağı geçen yıldan farklı olarak tüketim ve yatırım harcamalarının 2012 yılının ilk yarısında azalması oldu. Rakamlar bize iç talepte yavaşlamanın daralmaya dönüştüğünü, büyümenin tamamen net ihracattaki artışlardan kaynaklandığını göstermekte. Ancak net ih</w:t>
      </w:r>
      <w:r w:rsidR="007747B7">
        <w:rPr>
          <w:rFonts w:ascii="Arial" w:hAnsi="Arial" w:cs="Arial"/>
          <w:sz w:val="20"/>
          <w:szCs w:val="20"/>
        </w:rPr>
        <w:t xml:space="preserve">racattaki artışlar büyümeyi yıl </w:t>
      </w:r>
      <w:r>
        <w:rPr>
          <w:rFonts w:ascii="Arial" w:hAnsi="Arial" w:cs="Arial"/>
          <w:sz w:val="20"/>
          <w:szCs w:val="20"/>
        </w:rPr>
        <w:t xml:space="preserve">sonu hedefi olan yüzde 4’e çıkarmakta yeterli olmayabilir. </w:t>
      </w:r>
    </w:p>
    <w:p w:rsidR="001008A9" w:rsidRDefault="001008A9" w:rsidP="00B40C86">
      <w:pPr>
        <w:pStyle w:val="NormalWeb"/>
        <w:spacing w:before="0" w:beforeAutospacing="0" w:after="0" w:afterAutospacing="0" w:line="360" w:lineRule="auto"/>
        <w:jc w:val="both"/>
        <w:rPr>
          <w:rFonts w:ascii="Arial" w:hAnsi="Arial" w:cs="Arial"/>
          <w:sz w:val="20"/>
          <w:szCs w:val="20"/>
        </w:rPr>
      </w:pPr>
    </w:p>
    <w:p w:rsidR="001008A9" w:rsidRDefault="001008A9" w:rsidP="00B40C86">
      <w:pPr>
        <w:pStyle w:val="NormalWeb"/>
        <w:spacing w:before="0" w:beforeAutospacing="0" w:after="0" w:afterAutospacing="0" w:line="360" w:lineRule="auto"/>
        <w:jc w:val="both"/>
        <w:rPr>
          <w:rFonts w:ascii="Arial" w:hAnsi="Arial" w:cs="Arial"/>
          <w:sz w:val="20"/>
          <w:szCs w:val="20"/>
        </w:rPr>
      </w:pPr>
      <w:r>
        <w:rPr>
          <w:rFonts w:ascii="Arial" w:hAnsi="Arial" w:cs="Arial"/>
          <w:sz w:val="20"/>
          <w:szCs w:val="20"/>
        </w:rPr>
        <w:t>Bu durumda Türkiye’nin yıl sonunda yüzde 4’lük büyümeyi başarabilmesi için yılın geri kalanında iç talepte canlanma gerekmekte. Mali politikayı sıkı tutmakta kararlı görünen hükümetin mali politikayı gevşetmeyeceğini varsayarsak, para politikasının gevşemesi yönünde baskılar artabilir. Yılın geri kalanında çeyreklik bazda %1’lik büyüme yıllık büyümenin yüzde 3 düzeyinde kalmasını sağlaya</w:t>
      </w:r>
      <w:r w:rsidR="00252DEE">
        <w:rPr>
          <w:rFonts w:ascii="Arial" w:hAnsi="Arial" w:cs="Arial"/>
          <w:sz w:val="20"/>
          <w:szCs w:val="20"/>
        </w:rPr>
        <w:t>-</w:t>
      </w:r>
      <w:r>
        <w:rPr>
          <w:rFonts w:ascii="Arial" w:hAnsi="Arial" w:cs="Arial"/>
          <w:sz w:val="20"/>
          <w:szCs w:val="20"/>
        </w:rPr>
        <w:t xml:space="preserve">caktır. Yıllık yüzde 4 oranında büyümeye ulaşmak için ise çeyreklik bazda %2’lik bir büyüme gerekiyor. Yani ikinci çeyrekteki büyümenin yılın geri kalanında da devam etmesi gerekiyor. </w:t>
      </w:r>
    </w:p>
    <w:p w:rsidR="001008A9" w:rsidRDefault="001008A9" w:rsidP="00572866">
      <w:pPr>
        <w:spacing w:line="288" w:lineRule="auto"/>
        <w:ind w:right="77"/>
        <w:jc w:val="both"/>
        <w:rPr>
          <w:rFonts w:ascii="Arial" w:hAnsi="Arial" w:cs="Arial"/>
          <w:sz w:val="20"/>
          <w:szCs w:val="20"/>
        </w:rPr>
      </w:pPr>
    </w:p>
    <w:p w:rsidR="001008A9" w:rsidRPr="00712EDE" w:rsidRDefault="001008A9" w:rsidP="00572866">
      <w:pPr>
        <w:spacing w:line="288" w:lineRule="auto"/>
        <w:ind w:right="77"/>
        <w:jc w:val="both"/>
        <w:rPr>
          <w:rFonts w:ascii="Arial" w:hAnsi="Arial" w:cs="Arial"/>
          <w:b/>
          <w:bCs/>
          <w:sz w:val="20"/>
          <w:szCs w:val="20"/>
        </w:rPr>
      </w:pPr>
      <w:r w:rsidRPr="00712EDE">
        <w:rPr>
          <w:rFonts w:ascii="Arial" w:hAnsi="Arial" w:cs="Arial"/>
          <w:b/>
          <w:bCs/>
          <w:sz w:val="20"/>
          <w:szCs w:val="20"/>
        </w:rPr>
        <w:t>Ş</w:t>
      </w:r>
      <w:r>
        <w:rPr>
          <w:rFonts w:ascii="Arial" w:hAnsi="Arial" w:cs="Arial"/>
          <w:b/>
          <w:bCs/>
          <w:sz w:val="20"/>
          <w:szCs w:val="20"/>
        </w:rPr>
        <w:t>ekil 3</w:t>
      </w:r>
      <w:r w:rsidRPr="00712EDE">
        <w:rPr>
          <w:rFonts w:ascii="Arial" w:hAnsi="Arial" w:cs="Arial"/>
          <w:b/>
          <w:bCs/>
          <w:sz w:val="20"/>
          <w:szCs w:val="20"/>
        </w:rPr>
        <w:t>:</w:t>
      </w:r>
      <w:r>
        <w:rPr>
          <w:rFonts w:ascii="Arial" w:hAnsi="Arial" w:cs="Arial"/>
          <w:b/>
          <w:bCs/>
          <w:sz w:val="20"/>
          <w:szCs w:val="20"/>
        </w:rPr>
        <w:t xml:space="preserve"> </w:t>
      </w:r>
      <w:r w:rsidRPr="00712EDE">
        <w:rPr>
          <w:rFonts w:ascii="Arial" w:hAnsi="Arial" w:cs="Arial"/>
          <w:b/>
          <w:bCs/>
          <w:sz w:val="20"/>
          <w:szCs w:val="20"/>
        </w:rPr>
        <w:t>GSYH</w:t>
      </w:r>
      <w:r>
        <w:rPr>
          <w:rFonts w:ascii="Arial" w:hAnsi="Arial" w:cs="Arial"/>
          <w:b/>
          <w:bCs/>
          <w:sz w:val="20"/>
          <w:szCs w:val="20"/>
        </w:rPr>
        <w:t xml:space="preserve">, </w:t>
      </w:r>
      <w:r w:rsidRPr="00712EDE">
        <w:rPr>
          <w:rFonts w:ascii="Arial" w:hAnsi="Arial" w:cs="Arial"/>
          <w:b/>
          <w:bCs/>
          <w:sz w:val="20"/>
          <w:szCs w:val="20"/>
        </w:rPr>
        <w:t>Önceki çeyreğe göre büyüme</w:t>
      </w:r>
      <w:r>
        <w:rPr>
          <w:rFonts w:ascii="Arial" w:hAnsi="Arial" w:cs="Arial"/>
          <w:b/>
          <w:bCs/>
          <w:sz w:val="20"/>
          <w:szCs w:val="20"/>
        </w:rPr>
        <w:t xml:space="preserve"> </w:t>
      </w:r>
      <w:r w:rsidRPr="00712EDE">
        <w:rPr>
          <w:rFonts w:ascii="Arial" w:hAnsi="Arial" w:cs="Arial"/>
          <w:b/>
          <w:bCs/>
          <w:sz w:val="20"/>
          <w:szCs w:val="20"/>
        </w:rPr>
        <w:t>(TÜİK)</w:t>
      </w:r>
    </w:p>
    <w:p w:rsidR="001008A9" w:rsidRDefault="002E4ADD" w:rsidP="00572866">
      <w:pPr>
        <w:pStyle w:val="NormalWeb"/>
        <w:spacing w:before="0" w:beforeAutospacing="0" w:after="0" w:afterAutospacing="0"/>
        <w:jc w:val="both"/>
      </w:pPr>
      <w:r>
        <w:rPr>
          <w:noProof/>
        </w:rPr>
        <w:drawing>
          <wp:inline distT="0" distB="0" distL="0" distR="0">
            <wp:extent cx="2990850" cy="1819275"/>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990850" cy="1819275"/>
                    </a:xfrm>
                    <a:prstGeom prst="rect">
                      <a:avLst/>
                    </a:prstGeom>
                    <a:noFill/>
                    <a:ln w="9525">
                      <a:noFill/>
                      <a:miter lim="800000"/>
                      <a:headEnd/>
                      <a:tailEnd/>
                    </a:ln>
                  </pic:spPr>
                </pic:pic>
              </a:graphicData>
            </a:graphic>
          </wp:inline>
        </w:drawing>
      </w:r>
    </w:p>
    <w:p w:rsidR="001008A9" w:rsidRDefault="001008A9" w:rsidP="00572866">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 Betam.</w:t>
      </w:r>
    </w:p>
    <w:p w:rsidR="001008A9" w:rsidRPr="00DD51D1" w:rsidRDefault="001008A9" w:rsidP="00DD51D1">
      <w:pPr>
        <w:pStyle w:val="NormalWeb"/>
        <w:spacing w:before="0" w:beforeAutospacing="0" w:after="0" w:afterAutospacing="0" w:line="360" w:lineRule="auto"/>
        <w:rPr>
          <w:rFonts w:ascii="Arial" w:hAnsi="Arial" w:cs="Arial"/>
          <w:b/>
          <w:bCs/>
          <w:sz w:val="20"/>
          <w:szCs w:val="20"/>
        </w:rPr>
      </w:pPr>
    </w:p>
    <w:p w:rsidR="001008A9" w:rsidRDefault="001008A9" w:rsidP="00D561EE">
      <w:pPr>
        <w:pStyle w:val="NormalWeb"/>
        <w:spacing w:before="0" w:beforeAutospacing="0" w:after="0" w:afterAutospacing="0"/>
        <w:ind w:right="77"/>
        <w:jc w:val="both"/>
        <w:rPr>
          <w:b/>
          <w:bCs/>
          <w:sz w:val="22"/>
          <w:szCs w:val="22"/>
        </w:rPr>
      </w:pPr>
    </w:p>
    <w:p w:rsidR="001008A9" w:rsidRDefault="001008A9" w:rsidP="00D561EE">
      <w:pPr>
        <w:pStyle w:val="NormalWeb"/>
        <w:spacing w:before="0" w:beforeAutospacing="0" w:after="0" w:afterAutospacing="0"/>
        <w:ind w:right="77"/>
        <w:jc w:val="both"/>
        <w:rPr>
          <w:b/>
          <w:bCs/>
          <w:sz w:val="22"/>
          <w:szCs w:val="22"/>
        </w:rPr>
      </w:pPr>
    </w:p>
    <w:p w:rsidR="001008A9" w:rsidRDefault="001008A9" w:rsidP="00D561EE">
      <w:pPr>
        <w:pStyle w:val="NormalWeb"/>
        <w:spacing w:before="0" w:beforeAutospacing="0" w:after="0" w:afterAutospacing="0"/>
        <w:ind w:right="77"/>
        <w:jc w:val="both"/>
        <w:rPr>
          <w:b/>
          <w:bCs/>
          <w:sz w:val="22"/>
          <w:szCs w:val="22"/>
        </w:rPr>
      </w:pPr>
    </w:p>
    <w:p w:rsidR="002E4ADD" w:rsidRDefault="002E4ADD" w:rsidP="00D561EE">
      <w:pPr>
        <w:pStyle w:val="NormalWeb"/>
        <w:spacing w:before="0" w:beforeAutospacing="0" w:after="0" w:afterAutospacing="0"/>
        <w:ind w:right="77"/>
        <w:jc w:val="both"/>
        <w:rPr>
          <w:b/>
          <w:bCs/>
          <w:sz w:val="22"/>
          <w:szCs w:val="22"/>
        </w:rPr>
      </w:pPr>
    </w:p>
    <w:p w:rsidR="002E4ADD" w:rsidRDefault="002E4ADD" w:rsidP="00D561EE">
      <w:pPr>
        <w:pStyle w:val="NormalWeb"/>
        <w:spacing w:before="0" w:beforeAutospacing="0" w:after="0" w:afterAutospacing="0"/>
        <w:ind w:right="77"/>
        <w:jc w:val="both"/>
        <w:rPr>
          <w:b/>
          <w:bCs/>
          <w:sz w:val="22"/>
          <w:szCs w:val="22"/>
        </w:rPr>
      </w:pPr>
    </w:p>
    <w:p w:rsidR="002E4ADD" w:rsidRDefault="002E4ADD" w:rsidP="00D561EE">
      <w:pPr>
        <w:pStyle w:val="NormalWeb"/>
        <w:spacing w:before="0" w:beforeAutospacing="0" w:after="0" w:afterAutospacing="0"/>
        <w:ind w:right="77"/>
        <w:jc w:val="both"/>
        <w:rPr>
          <w:b/>
          <w:bCs/>
          <w:sz w:val="22"/>
          <w:szCs w:val="22"/>
        </w:rPr>
      </w:pPr>
    </w:p>
    <w:p w:rsidR="002E4ADD" w:rsidRDefault="002E4ADD" w:rsidP="00D561EE">
      <w:pPr>
        <w:pStyle w:val="NormalWeb"/>
        <w:spacing w:before="0" w:beforeAutospacing="0" w:after="0" w:afterAutospacing="0"/>
        <w:ind w:right="77"/>
        <w:jc w:val="both"/>
        <w:rPr>
          <w:b/>
          <w:bCs/>
          <w:sz w:val="22"/>
          <w:szCs w:val="22"/>
        </w:rPr>
      </w:pPr>
    </w:p>
    <w:p w:rsidR="002E4ADD" w:rsidRDefault="002E4ADD" w:rsidP="00D561EE">
      <w:pPr>
        <w:pStyle w:val="NormalWeb"/>
        <w:spacing w:before="0" w:beforeAutospacing="0" w:after="0" w:afterAutospacing="0"/>
        <w:ind w:right="77"/>
        <w:jc w:val="both"/>
        <w:rPr>
          <w:b/>
          <w:bCs/>
          <w:sz w:val="22"/>
          <w:szCs w:val="22"/>
        </w:rPr>
      </w:pPr>
    </w:p>
    <w:p w:rsidR="001008A9" w:rsidRDefault="001008A9" w:rsidP="00D561EE">
      <w:pPr>
        <w:pStyle w:val="NormalWeb"/>
        <w:spacing w:before="0" w:beforeAutospacing="0" w:after="0" w:afterAutospacing="0"/>
        <w:ind w:right="77"/>
        <w:jc w:val="both"/>
        <w:rPr>
          <w:b/>
          <w:bCs/>
          <w:sz w:val="22"/>
          <w:szCs w:val="22"/>
        </w:rPr>
      </w:pPr>
      <w:r>
        <w:rPr>
          <w:b/>
          <w:bCs/>
          <w:sz w:val="22"/>
          <w:szCs w:val="22"/>
        </w:rPr>
        <w:lastRenderedPageBreak/>
        <w:t xml:space="preserve">Tablo 1. 2012 1. çeyrekte ve 2012 2. çeyrekte GSYH altkalemlerinin, </w:t>
      </w:r>
      <w:r w:rsidRPr="00002CEE">
        <w:rPr>
          <w:b/>
          <w:bCs/>
          <w:sz w:val="22"/>
          <w:szCs w:val="22"/>
          <w:u w:val="single"/>
        </w:rPr>
        <w:t>bir önceki çeyreğe</w:t>
      </w:r>
      <w:r>
        <w:rPr>
          <w:b/>
          <w:bCs/>
          <w:sz w:val="22"/>
          <w:szCs w:val="22"/>
        </w:rPr>
        <w:t xml:space="preserve"> göre değişimleri ve büyümeye katkıları</w:t>
      </w:r>
    </w:p>
    <w:tbl>
      <w:tblPr>
        <w:tblW w:w="4500" w:type="dxa"/>
        <w:tblInd w:w="-68" w:type="dxa"/>
        <w:tblLayout w:type="fixed"/>
        <w:tblCellMar>
          <w:left w:w="70" w:type="dxa"/>
          <w:right w:w="70" w:type="dxa"/>
        </w:tblCellMar>
        <w:tblLook w:val="0000"/>
      </w:tblPr>
      <w:tblGrid>
        <w:gridCol w:w="1620"/>
        <w:gridCol w:w="1440"/>
        <w:gridCol w:w="1440"/>
      </w:tblGrid>
      <w:tr w:rsidR="001008A9">
        <w:trPr>
          <w:trHeight w:val="255"/>
        </w:trPr>
        <w:tc>
          <w:tcPr>
            <w:tcW w:w="1620" w:type="dxa"/>
            <w:tcBorders>
              <w:top w:val="single" w:sz="4" w:space="0" w:color="auto"/>
              <w:left w:val="single" w:sz="4" w:space="0" w:color="auto"/>
              <w:bottom w:val="single" w:sz="4" w:space="0" w:color="auto"/>
              <w:right w:val="single" w:sz="4" w:space="0" w:color="auto"/>
            </w:tcBorders>
            <w:noWrap/>
            <w:vAlign w:val="bottom"/>
          </w:tcPr>
          <w:p w:rsidR="001008A9" w:rsidRDefault="001008A9" w:rsidP="0089443A">
            <w:pPr>
              <w:rPr>
                <w:rFonts w:ascii="Arial TUR" w:hAnsi="Arial TUR" w:cs="Arial TUR"/>
                <w:b/>
                <w:bCs/>
                <w:sz w:val="20"/>
                <w:szCs w:val="20"/>
              </w:rPr>
            </w:pPr>
            <w:r>
              <w:rPr>
                <w:rFonts w:ascii="Arial TUR" w:hAnsi="Arial TUR" w:cs="Arial TUR"/>
                <w:b/>
                <w:bCs/>
                <w:sz w:val="20"/>
                <w:szCs w:val="20"/>
              </w:rPr>
              <w:t>2012 – 2. Ç</w:t>
            </w:r>
          </w:p>
        </w:tc>
        <w:tc>
          <w:tcPr>
            <w:tcW w:w="1440" w:type="dxa"/>
            <w:tcBorders>
              <w:top w:val="single" w:sz="4" w:space="0" w:color="auto"/>
              <w:left w:val="nil"/>
              <w:bottom w:val="single" w:sz="4" w:space="0" w:color="auto"/>
              <w:right w:val="single" w:sz="4" w:space="0" w:color="auto"/>
            </w:tcBorders>
            <w:noWrap/>
            <w:vAlign w:val="bottom"/>
          </w:tcPr>
          <w:p w:rsidR="001008A9" w:rsidRDefault="001008A9" w:rsidP="0089443A">
            <w:pPr>
              <w:jc w:val="center"/>
              <w:rPr>
                <w:rFonts w:ascii="Arial TUR" w:hAnsi="Arial TUR" w:cs="Arial TUR"/>
                <w:b/>
                <w:bCs/>
                <w:sz w:val="20"/>
                <w:szCs w:val="20"/>
              </w:rPr>
            </w:pPr>
            <w:r>
              <w:rPr>
                <w:rFonts w:ascii="Arial TUR" w:hAnsi="Arial TUR" w:cs="Arial TUR"/>
                <w:b/>
                <w:bCs/>
                <w:sz w:val="20"/>
                <w:szCs w:val="20"/>
              </w:rPr>
              <w:t>Degişim</w:t>
            </w:r>
          </w:p>
        </w:tc>
        <w:tc>
          <w:tcPr>
            <w:tcW w:w="1440" w:type="dxa"/>
            <w:tcBorders>
              <w:top w:val="single" w:sz="4" w:space="0" w:color="auto"/>
              <w:left w:val="nil"/>
              <w:bottom w:val="single" w:sz="4" w:space="0" w:color="auto"/>
              <w:right w:val="single" w:sz="4" w:space="0" w:color="auto"/>
            </w:tcBorders>
            <w:noWrap/>
            <w:vAlign w:val="bottom"/>
          </w:tcPr>
          <w:p w:rsidR="001008A9" w:rsidRDefault="001008A9" w:rsidP="0089443A">
            <w:pPr>
              <w:jc w:val="center"/>
              <w:rPr>
                <w:rFonts w:ascii="Arial TUR" w:hAnsi="Arial TUR" w:cs="Arial TUR"/>
                <w:b/>
                <w:bCs/>
                <w:sz w:val="20"/>
                <w:szCs w:val="20"/>
              </w:rPr>
            </w:pPr>
            <w:r>
              <w:rPr>
                <w:rFonts w:ascii="Arial TUR" w:hAnsi="Arial TUR" w:cs="Arial TUR"/>
                <w:b/>
                <w:bCs/>
                <w:sz w:val="20"/>
                <w:szCs w:val="20"/>
              </w:rPr>
              <w:t>Katkılar</w:t>
            </w:r>
          </w:p>
        </w:tc>
      </w:tr>
      <w:tr w:rsidR="001008A9">
        <w:trPr>
          <w:trHeight w:val="255"/>
        </w:trPr>
        <w:tc>
          <w:tcPr>
            <w:tcW w:w="1620" w:type="dxa"/>
            <w:tcBorders>
              <w:top w:val="nil"/>
              <w:left w:val="single" w:sz="4" w:space="0" w:color="auto"/>
              <w:bottom w:val="single" w:sz="4" w:space="0" w:color="auto"/>
              <w:right w:val="single" w:sz="4" w:space="0" w:color="auto"/>
            </w:tcBorders>
            <w:noWrap/>
            <w:vAlign w:val="bottom"/>
          </w:tcPr>
          <w:p w:rsidR="001008A9" w:rsidRDefault="001008A9" w:rsidP="0089443A">
            <w:pPr>
              <w:rPr>
                <w:rFonts w:ascii="Arial TUR" w:hAnsi="Arial TUR" w:cs="Arial TUR"/>
                <w:b/>
                <w:bCs/>
                <w:sz w:val="20"/>
                <w:szCs w:val="20"/>
              </w:rPr>
            </w:pPr>
            <w:r>
              <w:rPr>
                <w:rFonts w:ascii="Arial TUR" w:hAnsi="Arial TUR" w:cs="Arial TUR"/>
                <w:b/>
                <w:bCs/>
                <w:sz w:val="20"/>
                <w:szCs w:val="20"/>
              </w:rPr>
              <w:t>Tüketim</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-0,5%</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-0,4%</w:t>
            </w:r>
          </w:p>
        </w:tc>
      </w:tr>
      <w:tr w:rsidR="001008A9">
        <w:trPr>
          <w:trHeight w:val="255"/>
        </w:trPr>
        <w:tc>
          <w:tcPr>
            <w:tcW w:w="1620" w:type="dxa"/>
            <w:tcBorders>
              <w:top w:val="nil"/>
              <w:left w:val="single" w:sz="4" w:space="0" w:color="auto"/>
              <w:bottom w:val="single" w:sz="4" w:space="0" w:color="auto"/>
              <w:right w:val="single" w:sz="4" w:space="0" w:color="auto"/>
            </w:tcBorders>
            <w:noWrap/>
            <w:vAlign w:val="bottom"/>
          </w:tcPr>
          <w:p w:rsidR="001008A9" w:rsidRDefault="001008A9" w:rsidP="0089443A">
            <w:pPr>
              <w:rPr>
                <w:rFonts w:ascii="Arial TUR" w:hAnsi="Arial TUR" w:cs="Arial TUR"/>
                <w:b/>
                <w:bCs/>
                <w:sz w:val="20"/>
                <w:szCs w:val="20"/>
              </w:rPr>
            </w:pPr>
            <w:r>
              <w:rPr>
                <w:rFonts w:ascii="Arial TUR" w:hAnsi="Arial TUR" w:cs="Arial TUR"/>
                <w:b/>
                <w:bCs/>
                <w:sz w:val="20"/>
                <w:szCs w:val="20"/>
              </w:rPr>
              <w:t>Özel Yatırım</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-3,7%</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-0,8%</w:t>
            </w:r>
          </w:p>
        </w:tc>
      </w:tr>
      <w:tr w:rsidR="001008A9">
        <w:trPr>
          <w:trHeight w:val="255"/>
        </w:trPr>
        <w:tc>
          <w:tcPr>
            <w:tcW w:w="1620" w:type="dxa"/>
            <w:tcBorders>
              <w:top w:val="nil"/>
              <w:left w:val="single" w:sz="4" w:space="0" w:color="auto"/>
              <w:bottom w:val="single" w:sz="4" w:space="0" w:color="auto"/>
              <w:right w:val="single" w:sz="4" w:space="0" w:color="auto"/>
            </w:tcBorders>
            <w:noWrap/>
            <w:vAlign w:val="bottom"/>
          </w:tcPr>
          <w:p w:rsidR="001008A9" w:rsidRDefault="001008A9" w:rsidP="0089443A">
            <w:pPr>
              <w:rPr>
                <w:rFonts w:ascii="Arial TUR" w:hAnsi="Arial TUR" w:cs="Arial TUR"/>
                <w:b/>
                <w:bCs/>
                <w:sz w:val="20"/>
                <w:szCs w:val="20"/>
              </w:rPr>
            </w:pPr>
            <w:r>
              <w:rPr>
                <w:rFonts w:ascii="Arial TUR" w:hAnsi="Arial TUR" w:cs="Arial TUR"/>
                <w:b/>
                <w:bCs/>
                <w:sz w:val="20"/>
                <w:szCs w:val="20"/>
              </w:rPr>
              <w:t>Kamu Harcamaları</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1,0%</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0,1%</w:t>
            </w:r>
          </w:p>
        </w:tc>
      </w:tr>
      <w:tr w:rsidR="001008A9">
        <w:trPr>
          <w:trHeight w:val="255"/>
        </w:trPr>
        <w:tc>
          <w:tcPr>
            <w:tcW w:w="1620" w:type="dxa"/>
            <w:tcBorders>
              <w:top w:val="nil"/>
              <w:left w:val="single" w:sz="4" w:space="0" w:color="auto"/>
              <w:bottom w:val="single" w:sz="4" w:space="0" w:color="auto"/>
              <w:right w:val="single" w:sz="4" w:space="0" w:color="auto"/>
            </w:tcBorders>
            <w:noWrap/>
            <w:vAlign w:val="bottom"/>
          </w:tcPr>
          <w:p w:rsidR="001008A9" w:rsidRDefault="001008A9" w:rsidP="0089443A">
            <w:pPr>
              <w:rPr>
                <w:rFonts w:ascii="Arial TUR" w:hAnsi="Arial TUR" w:cs="Arial TUR"/>
                <w:b/>
                <w:bCs/>
                <w:sz w:val="20"/>
                <w:szCs w:val="20"/>
              </w:rPr>
            </w:pPr>
            <w:r>
              <w:rPr>
                <w:rFonts w:ascii="Arial TUR" w:hAnsi="Arial TUR" w:cs="Arial TUR"/>
                <w:b/>
                <w:bCs/>
                <w:sz w:val="20"/>
                <w:szCs w:val="20"/>
              </w:rPr>
              <w:t>Stok Değişimi</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1,6%</w:t>
            </w:r>
          </w:p>
        </w:tc>
      </w:tr>
      <w:tr w:rsidR="001008A9">
        <w:trPr>
          <w:trHeight w:val="255"/>
        </w:trPr>
        <w:tc>
          <w:tcPr>
            <w:tcW w:w="1620" w:type="dxa"/>
            <w:tcBorders>
              <w:top w:val="nil"/>
              <w:left w:val="single" w:sz="4" w:space="0" w:color="auto"/>
              <w:bottom w:val="single" w:sz="4" w:space="0" w:color="auto"/>
              <w:right w:val="single" w:sz="4" w:space="0" w:color="auto"/>
            </w:tcBorders>
            <w:noWrap/>
            <w:vAlign w:val="bottom"/>
          </w:tcPr>
          <w:p w:rsidR="001008A9" w:rsidRDefault="001008A9" w:rsidP="0089443A">
            <w:pPr>
              <w:rPr>
                <w:rFonts w:ascii="Arial TUR" w:hAnsi="Arial TUR" w:cs="Arial TUR"/>
                <w:b/>
                <w:bCs/>
                <w:sz w:val="20"/>
                <w:szCs w:val="20"/>
              </w:rPr>
            </w:pPr>
            <w:r>
              <w:rPr>
                <w:rFonts w:ascii="Arial TUR" w:hAnsi="Arial TUR" w:cs="Arial TUR"/>
                <w:b/>
                <w:bCs/>
                <w:sz w:val="20"/>
                <w:szCs w:val="20"/>
              </w:rPr>
              <w:t>İhracat</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7,1%</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1,8%</w:t>
            </w:r>
          </w:p>
        </w:tc>
      </w:tr>
      <w:tr w:rsidR="001008A9">
        <w:trPr>
          <w:trHeight w:val="255"/>
        </w:trPr>
        <w:tc>
          <w:tcPr>
            <w:tcW w:w="1620" w:type="dxa"/>
            <w:tcBorders>
              <w:top w:val="nil"/>
              <w:left w:val="single" w:sz="4" w:space="0" w:color="auto"/>
              <w:bottom w:val="single" w:sz="4" w:space="0" w:color="auto"/>
              <w:right w:val="single" w:sz="4" w:space="0" w:color="auto"/>
            </w:tcBorders>
            <w:noWrap/>
            <w:vAlign w:val="bottom"/>
          </w:tcPr>
          <w:p w:rsidR="001008A9" w:rsidRDefault="001008A9" w:rsidP="0089443A">
            <w:pPr>
              <w:rPr>
                <w:rFonts w:ascii="Arial TUR" w:hAnsi="Arial TUR" w:cs="Arial TUR"/>
                <w:b/>
                <w:bCs/>
                <w:sz w:val="20"/>
                <w:szCs w:val="20"/>
              </w:rPr>
            </w:pPr>
            <w:r>
              <w:rPr>
                <w:rFonts w:ascii="Arial TUR" w:hAnsi="Arial TUR" w:cs="Arial TUR"/>
                <w:b/>
                <w:bCs/>
                <w:sz w:val="20"/>
                <w:szCs w:val="20"/>
              </w:rPr>
              <w:t>İthalat</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1,8%</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-0,5%</w:t>
            </w:r>
          </w:p>
        </w:tc>
      </w:tr>
      <w:tr w:rsidR="001008A9">
        <w:trPr>
          <w:trHeight w:val="255"/>
        </w:trPr>
        <w:tc>
          <w:tcPr>
            <w:tcW w:w="1620" w:type="dxa"/>
            <w:tcBorders>
              <w:top w:val="nil"/>
              <w:left w:val="single" w:sz="4" w:space="0" w:color="auto"/>
              <w:bottom w:val="single" w:sz="4" w:space="0" w:color="auto"/>
              <w:right w:val="single" w:sz="4" w:space="0" w:color="auto"/>
            </w:tcBorders>
            <w:noWrap/>
            <w:vAlign w:val="bottom"/>
          </w:tcPr>
          <w:p w:rsidR="001008A9" w:rsidRDefault="001008A9" w:rsidP="0089443A">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noWrap/>
            <w:vAlign w:val="bottom"/>
          </w:tcPr>
          <w:p w:rsidR="001008A9" w:rsidRDefault="001008A9" w:rsidP="0089443A">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noWrap/>
            <w:vAlign w:val="bottom"/>
          </w:tcPr>
          <w:p w:rsidR="001008A9" w:rsidRDefault="001008A9" w:rsidP="0089443A">
            <w:pPr>
              <w:rPr>
                <w:rFonts w:ascii="Arial" w:hAnsi="Arial" w:cs="Arial"/>
                <w:sz w:val="20"/>
                <w:szCs w:val="20"/>
              </w:rPr>
            </w:pPr>
            <w:r>
              <w:rPr>
                <w:rFonts w:ascii="Arial" w:hAnsi="Arial" w:cs="Arial"/>
                <w:sz w:val="20"/>
                <w:szCs w:val="20"/>
              </w:rPr>
              <w:t> </w:t>
            </w:r>
          </w:p>
        </w:tc>
      </w:tr>
      <w:tr w:rsidR="001008A9">
        <w:trPr>
          <w:trHeight w:val="255"/>
        </w:trPr>
        <w:tc>
          <w:tcPr>
            <w:tcW w:w="1620" w:type="dxa"/>
            <w:tcBorders>
              <w:top w:val="nil"/>
              <w:left w:val="single" w:sz="4" w:space="0" w:color="auto"/>
              <w:bottom w:val="single" w:sz="4" w:space="0" w:color="auto"/>
              <w:right w:val="single" w:sz="4" w:space="0" w:color="auto"/>
            </w:tcBorders>
            <w:noWrap/>
            <w:vAlign w:val="bottom"/>
          </w:tcPr>
          <w:p w:rsidR="001008A9" w:rsidRDefault="001008A9" w:rsidP="0089443A">
            <w:pPr>
              <w:rPr>
                <w:rFonts w:ascii="Arial TUR" w:hAnsi="Arial TUR" w:cs="Arial TUR"/>
                <w:b/>
                <w:bCs/>
                <w:sz w:val="20"/>
                <w:szCs w:val="20"/>
              </w:rPr>
            </w:pPr>
            <w:r>
              <w:rPr>
                <w:rFonts w:ascii="Arial TUR" w:hAnsi="Arial TUR" w:cs="Arial TUR"/>
                <w:b/>
                <w:bCs/>
                <w:sz w:val="20"/>
                <w:szCs w:val="20"/>
              </w:rPr>
              <w:t>2012 – 1. Ç</w:t>
            </w:r>
          </w:p>
        </w:tc>
        <w:tc>
          <w:tcPr>
            <w:tcW w:w="1440" w:type="dxa"/>
            <w:tcBorders>
              <w:top w:val="nil"/>
              <w:left w:val="nil"/>
              <w:bottom w:val="single" w:sz="4" w:space="0" w:color="auto"/>
              <w:right w:val="single" w:sz="4" w:space="0" w:color="auto"/>
            </w:tcBorders>
            <w:noWrap/>
            <w:vAlign w:val="bottom"/>
          </w:tcPr>
          <w:p w:rsidR="001008A9" w:rsidRDefault="001008A9" w:rsidP="0089443A">
            <w:pPr>
              <w:jc w:val="center"/>
              <w:rPr>
                <w:rFonts w:ascii="Arial TUR" w:hAnsi="Arial TUR" w:cs="Arial TUR"/>
                <w:b/>
                <w:bCs/>
                <w:sz w:val="20"/>
                <w:szCs w:val="20"/>
              </w:rPr>
            </w:pPr>
            <w:r>
              <w:rPr>
                <w:rFonts w:ascii="Arial TUR" w:hAnsi="Arial TUR" w:cs="Arial TUR"/>
                <w:b/>
                <w:bCs/>
                <w:sz w:val="20"/>
                <w:szCs w:val="20"/>
              </w:rPr>
              <w:t>Degişim</w:t>
            </w:r>
          </w:p>
        </w:tc>
        <w:tc>
          <w:tcPr>
            <w:tcW w:w="1440" w:type="dxa"/>
            <w:tcBorders>
              <w:top w:val="nil"/>
              <w:left w:val="nil"/>
              <w:bottom w:val="single" w:sz="4" w:space="0" w:color="auto"/>
              <w:right w:val="single" w:sz="4" w:space="0" w:color="auto"/>
            </w:tcBorders>
            <w:noWrap/>
            <w:vAlign w:val="bottom"/>
          </w:tcPr>
          <w:p w:rsidR="001008A9" w:rsidRDefault="001008A9" w:rsidP="0089443A">
            <w:pPr>
              <w:jc w:val="center"/>
              <w:rPr>
                <w:rFonts w:ascii="Arial TUR" w:hAnsi="Arial TUR" w:cs="Arial TUR"/>
                <w:b/>
                <w:bCs/>
                <w:sz w:val="20"/>
                <w:szCs w:val="20"/>
              </w:rPr>
            </w:pPr>
            <w:r>
              <w:rPr>
                <w:rFonts w:ascii="Arial TUR" w:hAnsi="Arial TUR" w:cs="Arial TUR"/>
                <w:b/>
                <w:bCs/>
                <w:sz w:val="20"/>
                <w:szCs w:val="20"/>
              </w:rPr>
              <w:t>Katkılar</w:t>
            </w:r>
          </w:p>
        </w:tc>
      </w:tr>
      <w:tr w:rsidR="001008A9">
        <w:trPr>
          <w:trHeight w:val="255"/>
        </w:trPr>
        <w:tc>
          <w:tcPr>
            <w:tcW w:w="1620" w:type="dxa"/>
            <w:tcBorders>
              <w:top w:val="nil"/>
              <w:left w:val="single" w:sz="4" w:space="0" w:color="auto"/>
              <w:bottom w:val="single" w:sz="4" w:space="0" w:color="auto"/>
              <w:right w:val="single" w:sz="4" w:space="0" w:color="auto"/>
            </w:tcBorders>
            <w:noWrap/>
            <w:vAlign w:val="bottom"/>
          </w:tcPr>
          <w:p w:rsidR="001008A9" w:rsidRDefault="001008A9" w:rsidP="0089443A">
            <w:pPr>
              <w:rPr>
                <w:rFonts w:ascii="Arial TUR" w:hAnsi="Arial TUR" w:cs="Arial TUR"/>
                <w:b/>
                <w:bCs/>
                <w:sz w:val="20"/>
                <w:szCs w:val="20"/>
              </w:rPr>
            </w:pPr>
            <w:r>
              <w:rPr>
                <w:rFonts w:ascii="Arial TUR" w:hAnsi="Arial TUR" w:cs="Arial TUR"/>
                <w:b/>
                <w:bCs/>
                <w:sz w:val="20"/>
                <w:szCs w:val="20"/>
              </w:rPr>
              <w:t>Tüketim</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-0,8%</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-0,6%</w:t>
            </w:r>
          </w:p>
        </w:tc>
      </w:tr>
      <w:tr w:rsidR="001008A9">
        <w:trPr>
          <w:trHeight w:val="255"/>
        </w:trPr>
        <w:tc>
          <w:tcPr>
            <w:tcW w:w="1620" w:type="dxa"/>
            <w:tcBorders>
              <w:top w:val="nil"/>
              <w:left w:val="single" w:sz="4" w:space="0" w:color="auto"/>
              <w:bottom w:val="single" w:sz="4" w:space="0" w:color="auto"/>
              <w:right w:val="single" w:sz="4" w:space="0" w:color="auto"/>
            </w:tcBorders>
            <w:noWrap/>
            <w:vAlign w:val="bottom"/>
          </w:tcPr>
          <w:p w:rsidR="001008A9" w:rsidRDefault="001008A9" w:rsidP="0089443A">
            <w:pPr>
              <w:rPr>
                <w:rFonts w:ascii="Arial TUR" w:hAnsi="Arial TUR" w:cs="Arial TUR"/>
                <w:b/>
                <w:bCs/>
                <w:sz w:val="20"/>
                <w:szCs w:val="20"/>
              </w:rPr>
            </w:pPr>
            <w:r>
              <w:rPr>
                <w:rFonts w:ascii="Arial TUR" w:hAnsi="Arial TUR" w:cs="Arial TUR"/>
                <w:b/>
                <w:bCs/>
                <w:sz w:val="20"/>
                <w:szCs w:val="20"/>
              </w:rPr>
              <w:t>Özel Yatırım</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0,2%</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0,1%</w:t>
            </w:r>
          </w:p>
        </w:tc>
      </w:tr>
      <w:tr w:rsidR="001008A9">
        <w:trPr>
          <w:trHeight w:val="255"/>
        </w:trPr>
        <w:tc>
          <w:tcPr>
            <w:tcW w:w="1620" w:type="dxa"/>
            <w:tcBorders>
              <w:top w:val="nil"/>
              <w:left w:val="single" w:sz="4" w:space="0" w:color="auto"/>
              <w:bottom w:val="single" w:sz="4" w:space="0" w:color="auto"/>
              <w:right w:val="single" w:sz="4" w:space="0" w:color="auto"/>
            </w:tcBorders>
            <w:noWrap/>
            <w:vAlign w:val="bottom"/>
          </w:tcPr>
          <w:p w:rsidR="001008A9" w:rsidRDefault="001008A9" w:rsidP="0089443A">
            <w:pPr>
              <w:rPr>
                <w:rFonts w:ascii="Arial TUR" w:hAnsi="Arial TUR" w:cs="Arial TUR"/>
                <w:b/>
                <w:bCs/>
                <w:sz w:val="20"/>
                <w:szCs w:val="20"/>
              </w:rPr>
            </w:pPr>
            <w:r>
              <w:rPr>
                <w:rFonts w:ascii="Arial TUR" w:hAnsi="Arial TUR" w:cs="Arial TUR"/>
                <w:b/>
                <w:bCs/>
                <w:sz w:val="20"/>
                <w:szCs w:val="20"/>
              </w:rPr>
              <w:t>Kamu Harcamaları</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2,8%</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0,4%</w:t>
            </w:r>
          </w:p>
        </w:tc>
      </w:tr>
      <w:tr w:rsidR="001008A9">
        <w:trPr>
          <w:trHeight w:val="255"/>
        </w:trPr>
        <w:tc>
          <w:tcPr>
            <w:tcW w:w="1620" w:type="dxa"/>
            <w:tcBorders>
              <w:top w:val="nil"/>
              <w:left w:val="single" w:sz="4" w:space="0" w:color="auto"/>
              <w:bottom w:val="single" w:sz="4" w:space="0" w:color="auto"/>
              <w:right w:val="single" w:sz="4" w:space="0" w:color="auto"/>
            </w:tcBorders>
            <w:noWrap/>
            <w:vAlign w:val="bottom"/>
          </w:tcPr>
          <w:p w:rsidR="001008A9" w:rsidRDefault="001008A9" w:rsidP="0089443A">
            <w:pPr>
              <w:rPr>
                <w:rFonts w:ascii="Arial TUR" w:hAnsi="Arial TUR" w:cs="Arial TUR"/>
                <w:b/>
                <w:bCs/>
                <w:sz w:val="20"/>
                <w:szCs w:val="20"/>
              </w:rPr>
            </w:pPr>
            <w:r>
              <w:rPr>
                <w:rFonts w:ascii="Arial TUR" w:hAnsi="Arial TUR" w:cs="Arial TUR"/>
                <w:b/>
                <w:bCs/>
                <w:sz w:val="20"/>
                <w:szCs w:val="20"/>
              </w:rPr>
              <w:t>Stok Değişimi</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-0,1%</w:t>
            </w:r>
          </w:p>
        </w:tc>
      </w:tr>
      <w:tr w:rsidR="001008A9">
        <w:trPr>
          <w:trHeight w:val="255"/>
        </w:trPr>
        <w:tc>
          <w:tcPr>
            <w:tcW w:w="1620" w:type="dxa"/>
            <w:tcBorders>
              <w:top w:val="nil"/>
              <w:left w:val="single" w:sz="4" w:space="0" w:color="auto"/>
              <w:bottom w:val="single" w:sz="4" w:space="0" w:color="auto"/>
              <w:right w:val="single" w:sz="4" w:space="0" w:color="auto"/>
            </w:tcBorders>
            <w:noWrap/>
            <w:vAlign w:val="bottom"/>
          </w:tcPr>
          <w:p w:rsidR="001008A9" w:rsidRDefault="001008A9" w:rsidP="0089443A">
            <w:pPr>
              <w:rPr>
                <w:rFonts w:ascii="Arial TUR" w:hAnsi="Arial TUR" w:cs="Arial TUR"/>
                <w:b/>
                <w:bCs/>
                <w:sz w:val="20"/>
                <w:szCs w:val="20"/>
              </w:rPr>
            </w:pPr>
            <w:r>
              <w:rPr>
                <w:rFonts w:ascii="Arial TUR" w:hAnsi="Arial TUR" w:cs="Arial TUR"/>
                <w:b/>
                <w:bCs/>
                <w:sz w:val="20"/>
                <w:szCs w:val="20"/>
              </w:rPr>
              <w:t>İhracat</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3,5%</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0,8%</w:t>
            </w:r>
          </w:p>
        </w:tc>
      </w:tr>
      <w:tr w:rsidR="001008A9">
        <w:trPr>
          <w:trHeight w:val="255"/>
        </w:trPr>
        <w:tc>
          <w:tcPr>
            <w:tcW w:w="1620" w:type="dxa"/>
            <w:tcBorders>
              <w:top w:val="nil"/>
              <w:left w:val="single" w:sz="4" w:space="0" w:color="auto"/>
              <w:bottom w:val="single" w:sz="4" w:space="0" w:color="auto"/>
              <w:right w:val="single" w:sz="4" w:space="0" w:color="auto"/>
            </w:tcBorders>
            <w:noWrap/>
            <w:vAlign w:val="bottom"/>
          </w:tcPr>
          <w:p w:rsidR="001008A9" w:rsidRDefault="001008A9" w:rsidP="0089443A">
            <w:pPr>
              <w:rPr>
                <w:rFonts w:ascii="Arial TUR" w:hAnsi="Arial TUR" w:cs="Arial TUR"/>
                <w:b/>
                <w:bCs/>
                <w:sz w:val="20"/>
                <w:szCs w:val="20"/>
              </w:rPr>
            </w:pPr>
            <w:r>
              <w:rPr>
                <w:rFonts w:ascii="Arial TUR" w:hAnsi="Arial TUR" w:cs="Arial TUR"/>
                <w:b/>
                <w:bCs/>
                <w:sz w:val="20"/>
                <w:szCs w:val="20"/>
              </w:rPr>
              <w:t>İthalat</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1,5%</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-0,4%</w:t>
            </w:r>
          </w:p>
        </w:tc>
      </w:tr>
    </w:tbl>
    <w:p w:rsidR="001008A9" w:rsidRDefault="001008A9" w:rsidP="00D561EE">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 Betam.</w:t>
      </w:r>
    </w:p>
    <w:p w:rsidR="001008A9" w:rsidRDefault="001008A9" w:rsidP="00A7746C">
      <w:pPr>
        <w:pStyle w:val="NormalWeb"/>
        <w:spacing w:before="0" w:beforeAutospacing="0" w:after="0" w:afterAutospacing="0"/>
        <w:ind w:right="77"/>
        <w:rPr>
          <w:b/>
          <w:bCs/>
          <w:sz w:val="22"/>
          <w:szCs w:val="22"/>
        </w:rPr>
      </w:pPr>
    </w:p>
    <w:p w:rsidR="001008A9" w:rsidRDefault="001008A9" w:rsidP="00A7746C">
      <w:pPr>
        <w:pStyle w:val="NormalWeb"/>
        <w:spacing w:before="0" w:beforeAutospacing="0" w:after="0" w:afterAutospacing="0"/>
        <w:ind w:right="77"/>
        <w:rPr>
          <w:b/>
          <w:bCs/>
          <w:sz w:val="22"/>
          <w:szCs w:val="22"/>
        </w:rPr>
      </w:pPr>
    </w:p>
    <w:p w:rsidR="001008A9" w:rsidRDefault="001008A9" w:rsidP="00D561EE">
      <w:pPr>
        <w:pStyle w:val="NormalWeb"/>
        <w:spacing w:before="0" w:beforeAutospacing="0" w:after="0" w:afterAutospacing="0"/>
        <w:ind w:right="77"/>
        <w:jc w:val="both"/>
        <w:rPr>
          <w:b/>
          <w:bCs/>
          <w:sz w:val="22"/>
          <w:szCs w:val="22"/>
        </w:rPr>
      </w:pPr>
    </w:p>
    <w:p w:rsidR="001008A9" w:rsidRDefault="001008A9" w:rsidP="00D561EE">
      <w:pPr>
        <w:pStyle w:val="NormalWeb"/>
        <w:spacing w:before="0" w:beforeAutospacing="0" w:after="0" w:afterAutospacing="0"/>
        <w:ind w:right="77"/>
        <w:jc w:val="both"/>
        <w:rPr>
          <w:b/>
          <w:bCs/>
          <w:sz w:val="22"/>
          <w:szCs w:val="22"/>
        </w:rPr>
      </w:pPr>
      <w:r>
        <w:rPr>
          <w:b/>
          <w:bCs/>
          <w:sz w:val="22"/>
          <w:szCs w:val="22"/>
        </w:rPr>
        <w:t xml:space="preserve">Tablo 2. 2012 1. çeyrekte ve 2012 2. çeyrekte GSYH altkalemlerinin, </w:t>
      </w:r>
      <w:r w:rsidRPr="00002CEE">
        <w:rPr>
          <w:b/>
          <w:bCs/>
          <w:sz w:val="22"/>
          <w:szCs w:val="22"/>
          <w:u w:val="single"/>
        </w:rPr>
        <w:t xml:space="preserve">bir önceki yılın aynı çeyreğine göre </w:t>
      </w:r>
      <w:r>
        <w:rPr>
          <w:b/>
          <w:bCs/>
          <w:sz w:val="22"/>
          <w:szCs w:val="22"/>
        </w:rPr>
        <w:t>değişimleri ve büyümeye katkıları</w:t>
      </w:r>
    </w:p>
    <w:tbl>
      <w:tblPr>
        <w:tblW w:w="4500" w:type="dxa"/>
        <w:tblInd w:w="-68" w:type="dxa"/>
        <w:tblCellMar>
          <w:left w:w="70" w:type="dxa"/>
          <w:right w:w="70" w:type="dxa"/>
        </w:tblCellMar>
        <w:tblLook w:val="0000"/>
      </w:tblPr>
      <w:tblGrid>
        <w:gridCol w:w="1620"/>
        <w:gridCol w:w="1440"/>
        <w:gridCol w:w="1440"/>
      </w:tblGrid>
      <w:tr w:rsidR="001008A9">
        <w:trPr>
          <w:trHeight w:val="255"/>
        </w:trPr>
        <w:tc>
          <w:tcPr>
            <w:tcW w:w="1620" w:type="dxa"/>
            <w:tcBorders>
              <w:top w:val="single" w:sz="4" w:space="0" w:color="auto"/>
              <w:left w:val="single" w:sz="4" w:space="0" w:color="auto"/>
              <w:bottom w:val="single" w:sz="4" w:space="0" w:color="auto"/>
              <w:right w:val="single" w:sz="4" w:space="0" w:color="auto"/>
            </w:tcBorders>
            <w:noWrap/>
            <w:vAlign w:val="bottom"/>
          </w:tcPr>
          <w:p w:rsidR="001008A9" w:rsidRPr="005E763B" w:rsidRDefault="001008A9" w:rsidP="0089443A">
            <w:pPr>
              <w:rPr>
                <w:rFonts w:ascii="Arial" w:hAnsi="Arial" w:cs="Arial"/>
                <w:b/>
                <w:bCs/>
                <w:sz w:val="20"/>
                <w:szCs w:val="20"/>
              </w:rPr>
            </w:pPr>
            <w:r>
              <w:rPr>
                <w:rFonts w:ascii="Arial" w:hAnsi="Arial" w:cs="Arial"/>
                <w:b/>
                <w:bCs/>
                <w:sz w:val="20"/>
                <w:szCs w:val="20"/>
              </w:rPr>
              <w:t>2012 – 2</w:t>
            </w:r>
            <w:r w:rsidRPr="005E763B">
              <w:rPr>
                <w:rFonts w:ascii="Arial" w:hAnsi="Arial" w:cs="Arial"/>
                <w:b/>
                <w:bCs/>
                <w:sz w:val="20"/>
                <w:szCs w:val="20"/>
              </w:rPr>
              <w:t>. Ç</w:t>
            </w:r>
          </w:p>
        </w:tc>
        <w:tc>
          <w:tcPr>
            <w:tcW w:w="1440" w:type="dxa"/>
            <w:tcBorders>
              <w:top w:val="single" w:sz="4" w:space="0" w:color="auto"/>
              <w:left w:val="nil"/>
              <w:bottom w:val="single" w:sz="4" w:space="0" w:color="auto"/>
              <w:right w:val="single" w:sz="4" w:space="0" w:color="auto"/>
            </w:tcBorders>
            <w:noWrap/>
            <w:vAlign w:val="bottom"/>
          </w:tcPr>
          <w:p w:rsidR="001008A9" w:rsidRPr="005E763B" w:rsidRDefault="001008A9" w:rsidP="0089443A">
            <w:pPr>
              <w:jc w:val="center"/>
              <w:rPr>
                <w:rFonts w:ascii="Arial" w:hAnsi="Arial" w:cs="Arial"/>
                <w:b/>
                <w:bCs/>
                <w:sz w:val="20"/>
                <w:szCs w:val="20"/>
              </w:rPr>
            </w:pPr>
            <w:r w:rsidRPr="005E763B">
              <w:rPr>
                <w:rFonts w:ascii="Arial" w:hAnsi="Arial" w:cs="Arial"/>
                <w:b/>
                <w:bCs/>
                <w:sz w:val="20"/>
                <w:szCs w:val="20"/>
              </w:rPr>
              <w:t>Degişim</w:t>
            </w:r>
          </w:p>
        </w:tc>
        <w:tc>
          <w:tcPr>
            <w:tcW w:w="1440" w:type="dxa"/>
            <w:tcBorders>
              <w:top w:val="single" w:sz="4" w:space="0" w:color="auto"/>
              <w:left w:val="nil"/>
              <w:bottom w:val="single" w:sz="4" w:space="0" w:color="auto"/>
              <w:right w:val="single" w:sz="4" w:space="0" w:color="auto"/>
            </w:tcBorders>
            <w:noWrap/>
            <w:vAlign w:val="bottom"/>
          </w:tcPr>
          <w:p w:rsidR="001008A9" w:rsidRPr="005E763B" w:rsidRDefault="001008A9" w:rsidP="0089443A">
            <w:pPr>
              <w:jc w:val="center"/>
              <w:rPr>
                <w:rFonts w:ascii="Arial" w:hAnsi="Arial" w:cs="Arial"/>
                <w:b/>
                <w:bCs/>
                <w:sz w:val="20"/>
                <w:szCs w:val="20"/>
              </w:rPr>
            </w:pPr>
            <w:r w:rsidRPr="005E763B">
              <w:rPr>
                <w:rFonts w:ascii="Arial" w:hAnsi="Arial" w:cs="Arial"/>
                <w:b/>
                <w:bCs/>
                <w:sz w:val="20"/>
                <w:szCs w:val="20"/>
              </w:rPr>
              <w:t>Katkılar</w:t>
            </w:r>
          </w:p>
        </w:tc>
      </w:tr>
      <w:tr w:rsidR="001008A9">
        <w:trPr>
          <w:trHeight w:val="255"/>
        </w:trPr>
        <w:tc>
          <w:tcPr>
            <w:tcW w:w="1620" w:type="dxa"/>
            <w:tcBorders>
              <w:top w:val="nil"/>
              <w:left w:val="single" w:sz="4" w:space="0" w:color="auto"/>
              <w:bottom w:val="single" w:sz="4" w:space="0" w:color="auto"/>
              <w:right w:val="single" w:sz="4" w:space="0" w:color="auto"/>
            </w:tcBorders>
            <w:noWrap/>
            <w:vAlign w:val="bottom"/>
          </w:tcPr>
          <w:p w:rsidR="001008A9" w:rsidRPr="005E763B" w:rsidRDefault="001008A9" w:rsidP="0089443A">
            <w:pPr>
              <w:rPr>
                <w:rFonts w:ascii="Arial" w:hAnsi="Arial" w:cs="Arial"/>
                <w:b/>
                <w:bCs/>
                <w:sz w:val="20"/>
                <w:szCs w:val="20"/>
              </w:rPr>
            </w:pPr>
            <w:r w:rsidRPr="005E763B">
              <w:rPr>
                <w:rFonts w:ascii="Arial" w:hAnsi="Arial" w:cs="Arial"/>
                <w:b/>
                <w:bCs/>
                <w:sz w:val="20"/>
                <w:szCs w:val="20"/>
              </w:rPr>
              <w:t>Tüketim</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-0,5%</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-0,3%</w:t>
            </w:r>
          </w:p>
        </w:tc>
      </w:tr>
      <w:tr w:rsidR="001008A9">
        <w:trPr>
          <w:trHeight w:val="255"/>
        </w:trPr>
        <w:tc>
          <w:tcPr>
            <w:tcW w:w="1620" w:type="dxa"/>
            <w:tcBorders>
              <w:top w:val="nil"/>
              <w:left w:val="single" w:sz="4" w:space="0" w:color="auto"/>
              <w:bottom w:val="single" w:sz="4" w:space="0" w:color="auto"/>
              <w:right w:val="single" w:sz="4" w:space="0" w:color="auto"/>
            </w:tcBorders>
            <w:noWrap/>
            <w:vAlign w:val="bottom"/>
          </w:tcPr>
          <w:p w:rsidR="001008A9" w:rsidRPr="005E763B" w:rsidRDefault="001008A9" w:rsidP="0089443A">
            <w:pPr>
              <w:rPr>
                <w:rFonts w:ascii="Arial" w:hAnsi="Arial" w:cs="Arial"/>
                <w:b/>
                <w:bCs/>
                <w:sz w:val="20"/>
                <w:szCs w:val="20"/>
              </w:rPr>
            </w:pPr>
            <w:r w:rsidRPr="005E763B">
              <w:rPr>
                <w:rFonts w:ascii="Arial" w:hAnsi="Arial" w:cs="Arial"/>
                <w:b/>
                <w:bCs/>
                <w:sz w:val="20"/>
                <w:szCs w:val="20"/>
              </w:rPr>
              <w:t>Özel Yatırım</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-7,9%</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-1,9%</w:t>
            </w:r>
          </w:p>
        </w:tc>
      </w:tr>
      <w:tr w:rsidR="001008A9">
        <w:trPr>
          <w:trHeight w:val="255"/>
        </w:trPr>
        <w:tc>
          <w:tcPr>
            <w:tcW w:w="1620" w:type="dxa"/>
            <w:tcBorders>
              <w:top w:val="nil"/>
              <w:left w:val="single" w:sz="4" w:space="0" w:color="auto"/>
              <w:bottom w:val="single" w:sz="4" w:space="0" w:color="auto"/>
              <w:right w:val="single" w:sz="4" w:space="0" w:color="auto"/>
            </w:tcBorders>
            <w:noWrap/>
            <w:vAlign w:val="bottom"/>
          </w:tcPr>
          <w:p w:rsidR="001008A9" w:rsidRPr="005E763B" w:rsidRDefault="001008A9" w:rsidP="0089443A">
            <w:pPr>
              <w:rPr>
                <w:rFonts w:ascii="Arial" w:hAnsi="Arial" w:cs="Arial"/>
                <w:b/>
                <w:bCs/>
                <w:sz w:val="20"/>
                <w:szCs w:val="20"/>
              </w:rPr>
            </w:pPr>
            <w:r w:rsidRPr="005E763B">
              <w:rPr>
                <w:rFonts w:ascii="Arial" w:hAnsi="Arial" w:cs="Arial"/>
                <w:b/>
                <w:bCs/>
                <w:sz w:val="20"/>
                <w:szCs w:val="20"/>
              </w:rPr>
              <w:t>Kamu Harcamaları</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2,1%</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0,3%</w:t>
            </w:r>
          </w:p>
        </w:tc>
      </w:tr>
      <w:tr w:rsidR="001008A9">
        <w:trPr>
          <w:trHeight w:val="255"/>
        </w:trPr>
        <w:tc>
          <w:tcPr>
            <w:tcW w:w="1620" w:type="dxa"/>
            <w:tcBorders>
              <w:top w:val="nil"/>
              <w:left w:val="single" w:sz="4" w:space="0" w:color="auto"/>
              <w:bottom w:val="single" w:sz="4" w:space="0" w:color="auto"/>
              <w:right w:val="single" w:sz="4" w:space="0" w:color="auto"/>
            </w:tcBorders>
            <w:noWrap/>
            <w:vAlign w:val="bottom"/>
          </w:tcPr>
          <w:p w:rsidR="001008A9" w:rsidRPr="005E763B" w:rsidRDefault="001008A9" w:rsidP="0089443A">
            <w:pPr>
              <w:rPr>
                <w:rFonts w:ascii="Arial" w:hAnsi="Arial" w:cs="Arial"/>
                <w:b/>
                <w:bCs/>
                <w:sz w:val="20"/>
                <w:szCs w:val="20"/>
              </w:rPr>
            </w:pPr>
            <w:r w:rsidRPr="005E763B">
              <w:rPr>
                <w:rFonts w:ascii="Arial" w:hAnsi="Arial" w:cs="Arial"/>
                <w:b/>
                <w:bCs/>
                <w:sz w:val="20"/>
                <w:szCs w:val="20"/>
              </w:rPr>
              <w:t>Stok Değişimi</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-0,8%</w:t>
            </w:r>
          </w:p>
        </w:tc>
      </w:tr>
      <w:tr w:rsidR="001008A9">
        <w:trPr>
          <w:trHeight w:val="255"/>
        </w:trPr>
        <w:tc>
          <w:tcPr>
            <w:tcW w:w="1620" w:type="dxa"/>
            <w:tcBorders>
              <w:top w:val="nil"/>
              <w:left w:val="single" w:sz="4" w:space="0" w:color="auto"/>
              <w:bottom w:val="single" w:sz="4" w:space="0" w:color="auto"/>
              <w:right w:val="single" w:sz="4" w:space="0" w:color="auto"/>
            </w:tcBorders>
            <w:noWrap/>
            <w:vAlign w:val="bottom"/>
          </w:tcPr>
          <w:p w:rsidR="001008A9" w:rsidRPr="005E763B" w:rsidRDefault="001008A9" w:rsidP="0089443A">
            <w:pPr>
              <w:rPr>
                <w:rFonts w:ascii="Arial" w:hAnsi="Arial" w:cs="Arial"/>
                <w:b/>
                <w:bCs/>
                <w:sz w:val="20"/>
                <w:szCs w:val="20"/>
              </w:rPr>
            </w:pPr>
            <w:r w:rsidRPr="005E763B">
              <w:rPr>
                <w:rFonts w:ascii="Arial" w:hAnsi="Arial" w:cs="Arial"/>
                <w:b/>
                <w:bCs/>
                <w:sz w:val="20"/>
                <w:szCs w:val="20"/>
              </w:rPr>
              <w:t>İhracat</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19,8%</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4,6%</w:t>
            </w:r>
          </w:p>
        </w:tc>
      </w:tr>
      <w:tr w:rsidR="001008A9">
        <w:trPr>
          <w:trHeight w:val="255"/>
        </w:trPr>
        <w:tc>
          <w:tcPr>
            <w:tcW w:w="1620" w:type="dxa"/>
            <w:tcBorders>
              <w:top w:val="nil"/>
              <w:left w:val="single" w:sz="4" w:space="0" w:color="auto"/>
              <w:bottom w:val="single" w:sz="4" w:space="0" w:color="auto"/>
              <w:right w:val="single" w:sz="4" w:space="0" w:color="auto"/>
            </w:tcBorders>
            <w:noWrap/>
            <w:vAlign w:val="bottom"/>
          </w:tcPr>
          <w:p w:rsidR="001008A9" w:rsidRPr="005E763B" w:rsidRDefault="001008A9" w:rsidP="0089443A">
            <w:pPr>
              <w:rPr>
                <w:rFonts w:ascii="Arial" w:hAnsi="Arial" w:cs="Arial"/>
                <w:b/>
                <w:bCs/>
                <w:sz w:val="20"/>
                <w:szCs w:val="20"/>
              </w:rPr>
            </w:pPr>
            <w:r w:rsidRPr="005E763B">
              <w:rPr>
                <w:rFonts w:ascii="Arial" w:hAnsi="Arial" w:cs="Arial"/>
                <w:b/>
                <w:bCs/>
                <w:sz w:val="20"/>
                <w:szCs w:val="20"/>
              </w:rPr>
              <w:t>İthalat</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-3,6%</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1,1%</w:t>
            </w:r>
          </w:p>
        </w:tc>
      </w:tr>
      <w:tr w:rsidR="001008A9">
        <w:trPr>
          <w:trHeight w:val="255"/>
        </w:trPr>
        <w:tc>
          <w:tcPr>
            <w:tcW w:w="1620" w:type="dxa"/>
            <w:tcBorders>
              <w:top w:val="nil"/>
              <w:left w:val="single" w:sz="4" w:space="0" w:color="auto"/>
              <w:bottom w:val="single" w:sz="4" w:space="0" w:color="auto"/>
              <w:right w:val="single" w:sz="4" w:space="0" w:color="auto"/>
            </w:tcBorders>
            <w:noWrap/>
            <w:vAlign w:val="bottom"/>
          </w:tcPr>
          <w:p w:rsidR="001008A9" w:rsidRPr="005E763B" w:rsidRDefault="001008A9" w:rsidP="0089443A">
            <w:pPr>
              <w:rPr>
                <w:rFonts w:ascii="Arial" w:hAnsi="Arial" w:cs="Arial"/>
                <w:b/>
                <w:bCs/>
                <w:sz w:val="20"/>
                <w:szCs w:val="20"/>
              </w:rPr>
            </w:pPr>
            <w:r w:rsidRPr="005E763B">
              <w:rPr>
                <w:rFonts w:ascii="Arial" w:hAnsi="Arial" w:cs="Arial"/>
                <w:b/>
                <w:bCs/>
                <w:sz w:val="20"/>
                <w:szCs w:val="20"/>
              </w:rPr>
              <w:t> </w:t>
            </w:r>
          </w:p>
        </w:tc>
        <w:tc>
          <w:tcPr>
            <w:tcW w:w="1440" w:type="dxa"/>
            <w:tcBorders>
              <w:top w:val="nil"/>
              <w:left w:val="nil"/>
              <w:bottom w:val="single" w:sz="4" w:space="0" w:color="auto"/>
              <w:right w:val="single" w:sz="4" w:space="0" w:color="auto"/>
            </w:tcBorders>
            <w:noWrap/>
            <w:vAlign w:val="bottom"/>
          </w:tcPr>
          <w:p w:rsidR="001008A9" w:rsidRDefault="001008A9" w:rsidP="0089443A">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noWrap/>
            <w:vAlign w:val="bottom"/>
          </w:tcPr>
          <w:p w:rsidR="001008A9" w:rsidRDefault="001008A9" w:rsidP="0089443A">
            <w:pPr>
              <w:rPr>
                <w:rFonts w:ascii="Arial" w:hAnsi="Arial" w:cs="Arial"/>
                <w:sz w:val="20"/>
                <w:szCs w:val="20"/>
              </w:rPr>
            </w:pPr>
            <w:r>
              <w:rPr>
                <w:rFonts w:ascii="Arial" w:hAnsi="Arial" w:cs="Arial"/>
                <w:sz w:val="20"/>
                <w:szCs w:val="20"/>
              </w:rPr>
              <w:t> </w:t>
            </w:r>
          </w:p>
        </w:tc>
      </w:tr>
      <w:tr w:rsidR="001008A9">
        <w:trPr>
          <w:trHeight w:val="255"/>
        </w:trPr>
        <w:tc>
          <w:tcPr>
            <w:tcW w:w="1620" w:type="dxa"/>
            <w:tcBorders>
              <w:top w:val="nil"/>
              <w:left w:val="single" w:sz="4" w:space="0" w:color="auto"/>
              <w:bottom w:val="single" w:sz="4" w:space="0" w:color="auto"/>
              <w:right w:val="single" w:sz="4" w:space="0" w:color="auto"/>
            </w:tcBorders>
            <w:noWrap/>
            <w:vAlign w:val="bottom"/>
          </w:tcPr>
          <w:p w:rsidR="001008A9" w:rsidRPr="005E763B" w:rsidRDefault="001008A9" w:rsidP="0089443A">
            <w:pPr>
              <w:rPr>
                <w:rFonts w:ascii="Arial" w:hAnsi="Arial" w:cs="Arial"/>
                <w:b/>
                <w:bCs/>
                <w:sz w:val="20"/>
                <w:szCs w:val="20"/>
              </w:rPr>
            </w:pPr>
            <w:r>
              <w:rPr>
                <w:rFonts w:ascii="Arial" w:hAnsi="Arial" w:cs="Arial"/>
                <w:b/>
                <w:bCs/>
                <w:sz w:val="20"/>
                <w:szCs w:val="20"/>
              </w:rPr>
              <w:t>2012 – 1</w:t>
            </w:r>
            <w:r w:rsidRPr="005E763B">
              <w:rPr>
                <w:rFonts w:ascii="Arial" w:hAnsi="Arial" w:cs="Arial"/>
                <w:b/>
                <w:bCs/>
                <w:sz w:val="20"/>
                <w:szCs w:val="20"/>
              </w:rPr>
              <w:t>. Ç</w:t>
            </w:r>
          </w:p>
        </w:tc>
        <w:tc>
          <w:tcPr>
            <w:tcW w:w="1440" w:type="dxa"/>
            <w:tcBorders>
              <w:top w:val="nil"/>
              <w:left w:val="nil"/>
              <w:bottom w:val="single" w:sz="4" w:space="0" w:color="auto"/>
              <w:right w:val="single" w:sz="4" w:space="0" w:color="auto"/>
            </w:tcBorders>
            <w:noWrap/>
            <w:vAlign w:val="bottom"/>
          </w:tcPr>
          <w:p w:rsidR="001008A9" w:rsidRPr="005E763B" w:rsidRDefault="001008A9" w:rsidP="0089443A">
            <w:pPr>
              <w:jc w:val="center"/>
              <w:rPr>
                <w:rFonts w:ascii="Arial" w:hAnsi="Arial" w:cs="Arial"/>
                <w:b/>
                <w:bCs/>
                <w:sz w:val="20"/>
                <w:szCs w:val="20"/>
              </w:rPr>
            </w:pPr>
            <w:r w:rsidRPr="005E763B">
              <w:rPr>
                <w:rFonts w:ascii="Arial" w:hAnsi="Arial" w:cs="Arial"/>
                <w:b/>
                <w:bCs/>
                <w:sz w:val="20"/>
                <w:szCs w:val="20"/>
              </w:rPr>
              <w:t>Degişim</w:t>
            </w:r>
          </w:p>
        </w:tc>
        <w:tc>
          <w:tcPr>
            <w:tcW w:w="1440" w:type="dxa"/>
            <w:tcBorders>
              <w:top w:val="nil"/>
              <w:left w:val="nil"/>
              <w:bottom w:val="single" w:sz="4" w:space="0" w:color="auto"/>
              <w:right w:val="single" w:sz="4" w:space="0" w:color="auto"/>
            </w:tcBorders>
            <w:noWrap/>
            <w:vAlign w:val="bottom"/>
          </w:tcPr>
          <w:p w:rsidR="001008A9" w:rsidRPr="005E763B" w:rsidRDefault="001008A9" w:rsidP="0089443A">
            <w:pPr>
              <w:jc w:val="center"/>
              <w:rPr>
                <w:rFonts w:ascii="Arial" w:hAnsi="Arial" w:cs="Arial"/>
                <w:b/>
                <w:bCs/>
                <w:sz w:val="20"/>
                <w:szCs w:val="20"/>
              </w:rPr>
            </w:pPr>
            <w:r w:rsidRPr="005E763B">
              <w:rPr>
                <w:rFonts w:ascii="Arial" w:hAnsi="Arial" w:cs="Arial"/>
                <w:b/>
                <w:bCs/>
                <w:sz w:val="20"/>
                <w:szCs w:val="20"/>
              </w:rPr>
              <w:t>Katkılar</w:t>
            </w:r>
          </w:p>
        </w:tc>
      </w:tr>
      <w:tr w:rsidR="001008A9">
        <w:trPr>
          <w:trHeight w:val="255"/>
        </w:trPr>
        <w:tc>
          <w:tcPr>
            <w:tcW w:w="1620" w:type="dxa"/>
            <w:tcBorders>
              <w:top w:val="nil"/>
              <w:left w:val="single" w:sz="4" w:space="0" w:color="auto"/>
              <w:bottom w:val="single" w:sz="4" w:space="0" w:color="auto"/>
              <w:right w:val="single" w:sz="4" w:space="0" w:color="auto"/>
            </w:tcBorders>
            <w:noWrap/>
            <w:vAlign w:val="bottom"/>
          </w:tcPr>
          <w:p w:rsidR="001008A9" w:rsidRPr="005E763B" w:rsidRDefault="001008A9" w:rsidP="0089443A">
            <w:pPr>
              <w:rPr>
                <w:rFonts w:ascii="Arial" w:hAnsi="Arial" w:cs="Arial"/>
                <w:b/>
                <w:bCs/>
                <w:sz w:val="20"/>
                <w:szCs w:val="20"/>
              </w:rPr>
            </w:pPr>
            <w:r w:rsidRPr="005E763B">
              <w:rPr>
                <w:rFonts w:ascii="Arial" w:hAnsi="Arial" w:cs="Arial"/>
                <w:b/>
                <w:bCs/>
                <w:sz w:val="20"/>
                <w:szCs w:val="20"/>
              </w:rPr>
              <w:t>Tüketim</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0,2%</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0,1%</w:t>
            </w:r>
          </w:p>
        </w:tc>
      </w:tr>
      <w:tr w:rsidR="001008A9">
        <w:trPr>
          <w:trHeight w:val="255"/>
        </w:trPr>
        <w:tc>
          <w:tcPr>
            <w:tcW w:w="1620" w:type="dxa"/>
            <w:tcBorders>
              <w:top w:val="nil"/>
              <w:left w:val="single" w:sz="4" w:space="0" w:color="auto"/>
              <w:bottom w:val="single" w:sz="4" w:space="0" w:color="auto"/>
              <w:right w:val="single" w:sz="4" w:space="0" w:color="auto"/>
            </w:tcBorders>
            <w:noWrap/>
            <w:vAlign w:val="bottom"/>
          </w:tcPr>
          <w:p w:rsidR="001008A9" w:rsidRPr="005E763B" w:rsidRDefault="001008A9" w:rsidP="0089443A">
            <w:pPr>
              <w:rPr>
                <w:rFonts w:ascii="Arial" w:hAnsi="Arial" w:cs="Arial"/>
                <w:b/>
                <w:bCs/>
                <w:sz w:val="20"/>
                <w:szCs w:val="20"/>
              </w:rPr>
            </w:pPr>
            <w:r w:rsidRPr="005E763B">
              <w:rPr>
                <w:rFonts w:ascii="Arial" w:hAnsi="Arial" w:cs="Arial"/>
                <w:b/>
                <w:bCs/>
                <w:sz w:val="20"/>
                <w:szCs w:val="20"/>
              </w:rPr>
              <w:t>Özel Yatırım</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1,4%</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0,3%</w:t>
            </w:r>
          </w:p>
        </w:tc>
      </w:tr>
      <w:tr w:rsidR="001008A9">
        <w:trPr>
          <w:trHeight w:val="255"/>
        </w:trPr>
        <w:tc>
          <w:tcPr>
            <w:tcW w:w="1620" w:type="dxa"/>
            <w:tcBorders>
              <w:top w:val="nil"/>
              <w:left w:val="single" w:sz="4" w:space="0" w:color="auto"/>
              <w:bottom w:val="single" w:sz="4" w:space="0" w:color="auto"/>
              <w:right w:val="single" w:sz="4" w:space="0" w:color="auto"/>
            </w:tcBorders>
            <w:noWrap/>
            <w:vAlign w:val="bottom"/>
          </w:tcPr>
          <w:p w:rsidR="001008A9" w:rsidRPr="005E763B" w:rsidRDefault="001008A9" w:rsidP="0089443A">
            <w:pPr>
              <w:rPr>
                <w:rFonts w:ascii="Arial" w:hAnsi="Arial" w:cs="Arial"/>
                <w:b/>
                <w:bCs/>
                <w:sz w:val="20"/>
                <w:szCs w:val="20"/>
              </w:rPr>
            </w:pPr>
            <w:r w:rsidRPr="005E763B">
              <w:rPr>
                <w:rFonts w:ascii="Arial" w:hAnsi="Arial" w:cs="Arial"/>
                <w:b/>
                <w:bCs/>
                <w:sz w:val="20"/>
                <w:szCs w:val="20"/>
              </w:rPr>
              <w:t>Kamu Harcamaları</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4,7%</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0,6%</w:t>
            </w:r>
          </w:p>
        </w:tc>
      </w:tr>
      <w:tr w:rsidR="001008A9">
        <w:trPr>
          <w:trHeight w:val="255"/>
        </w:trPr>
        <w:tc>
          <w:tcPr>
            <w:tcW w:w="1620" w:type="dxa"/>
            <w:tcBorders>
              <w:top w:val="nil"/>
              <w:left w:val="single" w:sz="4" w:space="0" w:color="auto"/>
              <w:bottom w:val="single" w:sz="4" w:space="0" w:color="auto"/>
              <w:right w:val="single" w:sz="4" w:space="0" w:color="auto"/>
            </w:tcBorders>
            <w:noWrap/>
            <w:vAlign w:val="bottom"/>
          </w:tcPr>
          <w:p w:rsidR="001008A9" w:rsidRPr="005E763B" w:rsidRDefault="001008A9" w:rsidP="0089443A">
            <w:pPr>
              <w:rPr>
                <w:rFonts w:ascii="Arial" w:hAnsi="Arial" w:cs="Arial"/>
                <w:b/>
                <w:bCs/>
                <w:sz w:val="20"/>
                <w:szCs w:val="20"/>
              </w:rPr>
            </w:pPr>
            <w:r w:rsidRPr="005E763B">
              <w:rPr>
                <w:rFonts w:ascii="Arial" w:hAnsi="Arial" w:cs="Arial"/>
                <w:b/>
                <w:bCs/>
                <w:sz w:val="20"/>
                <w:szCs w:val="20"/>
              </w:rPr>
              <w:t>Stok Değişimi</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-2,3%</w:t>
            </w:r>
          </w:p>
        </w:tc>
      </w:tr>
      <w:tr w:rsidR="001008A9">
        <w:trPr>
          <w:trHeight w:val="255"/>
        </w:trPr>
        <w:tc>
          <w:tcPr>
            <w:tcW w:w="1620" w:type="dxa"/>
            <w:tcBorders>
              <w:top w:val="nil"/>
              <w:left w:val="single" w:sz="4" w:space="0" w:color="auto"/>
              <w:bottom w:val="single" w:sz="4" w:space="0" w:color="auto"/>
              <w:right w:val="single" w:sz="4" w:space="0" w:color="auto"/>
            </w:tcBorders>
            <w:noWrap/>
            <w:vAlign w:val="bottom"/>
          </w:tcPr>
          <w:p w:rsidR="001008A9" w:rsidRPr="005E763B" w:rsidRDefault="001008A9" w:rsidP="0089443A">
            <w:pPr>
              <w:rPr>
                <w:rFonts w:ascii="Arial" w:hAnsi="Arial" w:cs="Arial"/>
                <w:b/>
                <w:bCs/>
                <w:sz w:val="20"/>
                <w:szCs w:val="20"/>
              </w:rPr>
            </w:pPr>
            <w:r w:rsidRPr="005E763B">
              <w:rPr>
                <w:rFonts w:ascii="Arial" w:hAnsi="Arial" w:cs="Arial"/>
                <w:b/>
                <w:bCs/>
                <w:sz w:val="20"/>
                <w:szCs w:val="20"/>
              </w:rPr>
              <w:t>İhracat</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11,9%</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2,7%</w:t>
            </w:r>
          </w:p>
        </w:tc>
      </w:tr>
      <w:tr w:rsidR="001008A9">
        <w:trPr>
          <w:trHeight w:val="255"/>
        </w:trPr>
        <w:tc>
          <w:tcPr>
            <w:tcW w:w="1620" w:type="dxa"/>
            <w:tcBorders>
              <w:top w:val="nil"/>
              <w:left w:val="single" w:sz="4" w:space="0" w:color="auto"/>
              <w:bottom w:val="single" w:sz="4" w:space="0" w:color="auto"/>
              <w:right w:val="single" w:sz="4" w:space="0" w:color="auto"/>
            </w:tcBorders>
            <w:noWrap/>
            <w:vAlign w:val="bottom"/>
          </w:tcPr>
          <w:p w:rsidR="001008A9" w:rsidRPr="005E763B" w:rsidRDefault="001008A9" w:rsidP="0089443A">
            <w:pPr>
              <w:rPr>
                <w:rFonts w:ascii="Arial" w:hAnsi="Arial" w:cs="Arial"/>
                <w:b/>
                <w:bCs/>
                <w:sz w:val="20"/>
                <w:szCs w:val="20"/>
              </w:rPr>
            </w:pPr>
            <w:r w:rsidRPr="005E763B">
              <w:rPr>
                <w:rFonts w:ascii="Arial" w:hAnsi="Arial" w:cs="Arial"/>
                <w:b/>
                <w:bCs/>
                <w:sz w:val="20"/>
                <w:szCs w:val="20"/>
              </w:rPr>
              <w:t>İthalat</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-6,0%</w:t>
            </w:r>
          </w:p>
        </w:tc>
        <w:tc>
          <w:tcPr>
            <w:tcW w:w="1440" w:type="dxa"/>
            <w:tcBorders>
              <w:top w:val="nil"/>
              <w:left w:val="nil"/>
              <w:bottom w:val="single" w:sz="4" w:space="0" w:color="auto"/>
              <w:right w:val="single" w:sz="4" w:space="0" w:color="auto"/>
            </w:tcBorders>
            <w:noWrap/>
            <w:vAlign w:val="bottom"/>
          </w:tcPr>
          <w:p w:rsidR="001008A9" w:rsidRDefault="001008A9" w:rsidP="0089443A">
            <w:pPr>
              <w:jc w:val="right"/>
              <w:rPr>
                <w:rFonts w:ascii="Arial" w:hAnsi="Arial" w:cs="Arial"/>
                <w:sz w:val="20"/>
                <w:szCs w:val="20"/>
              </w:rPr>
            </w:pPr>
            <w:r>
              <w:rPr>
                <w:rFonts w:ascii="Arial" w:hAnsi="Arial" w:cs="Arial"/>
                <w:sz w:val="20"/>
                <w:szCs w:val="20"/>
              </w:rPr>
              <w:t>1,9%</w:t>
            </w:r>
          </w:p>
        </w:tc>
      </w:tr>
    </w:tbl>
    <w:p w:rsidR="001008A9" w:rsidRDefault="001008A9" w:rsidP="00D561EE">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 Betam.</w:t>
      </w:r>
    </w:p>
    <w:p w:rsidR="001008A9" w:rsidRDefault="001008A9" w:rsidP="00A7746C">
      <w:pPr>
        <w:pStyle w:val="NormalWeb"/>
        <w:spacing w:before="0" w:beforeAutospacing="0" w:after="0" w:afterAutospacing="0" w:line="360" w:lineRule="auto"/>
        <w:ind w:right="77"/>
        <w:rPr>
          <w:rFonts w:ascii="Arial" w:hAnsi="Arial" w:cs="Arial"/>
          <w:b/>
          <w:bCs/>
          <w:sz w:val="20"/>
          <w:szCs w:val="20"/>
        </w:rPr>
      </w:pPr>
    </w:p>
    <w:p w:rsidR="001008A9" w:rsidRDefault="001008A9" w:rsidP="00530B03">
      <w:pPr>
        <w:pStyle w:val="NormalWeb"/>
        <w:spacing w:before="0" w:beforeAutospacing="0" w:after="0" w:afterAutospacing="0"/>
        <w:ind w:right="77"/>
        <w:rPr>
          <w:b/>
          <w:bCs/>
          <w:sz w:val="22"/>
          <w:szCs w:val="22"/>
        </w:rPr>
      </w:pPr>
    </w:p>
    <w:p w:rsidR="001008A9" w:rsidRDefault="001008A9" w:rsidP="00530B03">
      <w:pPr>
        <w:pStyle w:val="NormalWeb"/>
        <w:spacing w:before="0" w:beforeAutospacing="0" w:after="0" w:afterAutospacing="0"/>
        <w:ind w:right="77"/>
        <w:rPr>
          <w:b/>
          <w:bCs/>
          <w:sz w:val="22"/>
          <w:szCs w:val="22"/>
        </w:rPr>
      </w:pPr>
    </w:p>
    <w:p w:rsidR="001008A9" w:rsidRDefault="001008A9" w:rsidP="00530B03">
      <w:pPr>
        <w:pStyle w:val="NormalWeb"/>
        <w:spacing w:before="0" w:beforeAutospacing="0" w:after="0" w:afterAutospacing="0"/>
        <w:ind w:right="77"/>
        <w:rPr>
          <w:b/>
          <w:bCs/>
          <w:sz w:val="22"/>
          <w:szCs w:val="22"/>
        </w:rPr>
      </w:pPr>
    </w:p>
    <w:p w:rsidR="001008A9" w:rsidRDefault="001008A9" w:rsidP="00530B03">
      <w:pPr>
        <w:pStyle w:val="NormalWeb"/>
        <w:spacing w:before="0" w:beforeAutospacing="0" w:after="0" w:afterAutospacing="0"/>
        <w:ind w:right="77"/>
        <w:rPr>
          <w:b/>
          <w:bCs/>
          <w:sz w:val="22"/>
          <w:szCs w:val="22"/>
        </w:rPr>
      </w:pPr>
    </w:p>
    <w:p w:rsidR="001008A9" w:rsidRDefault="001008A9" w:rsidP="00530B03">
      <w:pPr>
        <w:pStyle w:val="NormalWeb"/>
        <w:spacing w:before="0" w:beforeAutospacing="0" w:after="0" w:afterAutospacing="0"/>
        <w:ind w:right="77"/>
        <w:rPr>
          <w:b/>
          <w:bCs/>
          <w:sz w:val="22"/>
          <w:szCs w:val="22"/>
        </w:rPr>
      </w:pPr>
    </w:p>
    <w:p w:rsidR="001008A9" w:rsidRDefault="001008A9" w:rsidP="00530B03">
      <w:pPr>
        <w:pStyle w:val="NormalWeb"/>
        <w:spacing w:before="0" w:beforeAutospacing="0" w:after="0" w:afterAutospacing="0"/>
        <w:ind w:right="77"/>
        <w:rPr>
          <w:b/>
          <w:bCs/>
          <w:sz w:val="22"/>
          <w:szCs w:val="22"/>
        </w:rPr>
      </w:pPr>
    </w:p>
    <w:p w:rsidR="001008A9" w:rsidRDefault="002E4ADD" w:rsidP="00530B03">
      <w:pPr>
        <w:pStyle w:val="NormalWeb"/>
        <w:spacing w:before="0" w:beforeAutospacing="0" w:after="0" w:afterAutospacing="0"/>
        <w:ind w:right="77"/>
        <w:rPr>
          <w:b/>
          <w:bCs/>
          <w:sz w:val="22"/>
          <w:szCs w:val="22"/>
        </w:rPr>
      </w:pPr>
      <w:r>
        <w:rPr>
          <w:b/>
          <w:bCs/>
          <w:sz w:val="22"/>
          <w:szCs w:val="22"/>
        </w:rPr>
        <w:lastRenderedPageBreak/>
        <w:t>Tablo 3</w:t>
      </w:r>
      <w:r w:rsidR="001008A9">
        <w:rPr>
          <w:b/>
          <w:bCs/>
          <w:sz w:val="22"/>
          <w:szCs w:val="22"/>
        </w:rPr>
        <w:t>. 2012 ilk yarı ve 2011 ikinci yarı GSYH altkalemlerinin, bir önceki yıl aynı yarıya göre değişimleri ve büyümeye katkıları</w:t>
      </w:r>
    </w:p>
    <w:tbl>
      <w:tblPr>
        <w:tblW w:w="4500" w:type="dxa"/>
        <w:tblInd w:w="-68" w:type="dxa"/>
        <w:tblLayout w:type="fixed"/>
        <w:tblCellMar>
          <w:left w:w="70" w:type="dxa"/>
          <w:right w:w="70" w:type="dxa"/>
        </w:tblCellMar>
        <w:tblLook w:val="0000"/>
      </w:tblPr>
      <w:tblGrid>
        <w:gridCol w:w="1980"/>
        <w:gridCol w:w="1260"/>
        <w:gridCol w:w="1260"/>
      </w:tblGrid>
      <w:tr w:rsidR="001008A9">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1008A9" w:rsidRDefault="001008A9" w:rsidP="00803483">
            <w:pPr>
              <w:rPr>
                <w:rFonts w:ascii="Arial TUR" w:hAnsi="Arial TUR" w:cs="Arial TUR"/>
                <w:b/>
                <w:bCs/>
                <w:sz w:val="20"/>
                <w:szCs w:val="20"/>
              </w:rPr>
            </w:pPr>
            <w:r>
              <w:rPr>
                <w:rFonts w:ascii="Arial TUR" w:hAnsi="Arial TUR" w:cs="Arial TUR"/>
                <w:b/>
                <w:bCs/>
                <w:sz w:val="20"/>
                <w:szCs w:val="20"/>
              </w:rPr>
              <w:t xml:space="preserve">2012 – İlk yarıyıl </w:t>
            </w:r>
          </w:p>
        </w:tc>
        <w:tc>
          <w:tcPr>
            <w:tcW w:w="1260" w:type="dxa"/>
            <w:tcBorders>
              <w:top w:val="single" w:sz="4" w:space="0" w:color="auto"/>
              <w:left w:val="nil"/>
              <w:bottom w:val="single" w:sz="4" w:space="0" w:color="auto"/>
              <w:right w:val="single" w:sz="4" w:space="0" w:color="auto"/>
            </w:tcBorders>
            <w:noWrap/>
            <w:vAlign w:val="bottom"/>
          </w:tcPr>
          <w:p w:rsidR="001008A9" w:rsidRDefault="001008A9" w:rsidP="00803483">
            <w:pPr>
              <w:jc w:val="center"/>
              <w:rPr>
                <w:rFonts w:ascii="Arial TUR" w:hAnsi="Arial TUR" w:cs="Arial TUR"/>
                <w:b/>
                <w:bCs/>
                <w:sz w:val="20"/>
                <w:szCs w:val="20"/>
              </w:rPr>
            </w:pPr>
            <w:r>
              <w:rPr>
                <w:rFonts w:ascii="Arial TUR" w:hAnsi="Arial TUR" w:cs="Arial TUR"/>
                <w:b/>
                <w:bCs/>
                <w:sz w:val="20"/>
                <w:szCs w:val="20"/>
              </w:rPr>
              <w:t>Degişim</w:t>
            </w:r>
          </w:p>
        </w:tc>
        <w:tc>
          <w:tcPr>
            <w:tcW w:w="1260" w:type="dxa"/>
            <w:tcBorders>
              <w:top w:val="single" w:sz="4" w:space="0" w:color="auto"/>
              <w:left w:val="nil"/>
              <w:bottom w:val="single" w:sz="4" w:space="0" w:color="auto"/>
              <w:right w:val="single" w:sz="4" w:space="0" w:color="auto"/>
            </w:tcBorders>
            <w:noWrap/>
            <w:vAlign w:val="bottom"/>
          </w:tcPr>
          <w:p w:rsidR="001008A9" w:rsidRDefault="001008A9" w:rsidP="00803483">
            <w:pPr>
              <w:jc w:val="center"/>
              <w:rPr>
                <w:rFonts w:ascii="Arial TUR" w:hAnsi="Arial TUR" w:cs="Arial TUR"/>
                <w:b/>
                <w:bCs/>
                <w:sz w:val="20"/>
                <w:szCs w:val="20"/>
              </w:rPr>
            </w:pPr>
            <w:r>
              <w:rPr>
                <w:rFonts w:ascii="Arial TUR" w:hAnsi="Arial TUR" w:cs="Arial TUR"/>
                <w:b/>
                <w:bCs/>
                <w:sz w:val="20"/>
                <w:szCs w:val="20"/>
              </w:rPr>
              <w:t>Katkılar</w:t>
            </w:r>
          </w:p>
        </w:tc>
      </w:tr>
      <w:tr w:rsidR="001008A9">
        <w:trPr>
          <w:trHeight w:val="255"/>
        </w:trPr>
        <w:tc>
          <w:tcPr>
            <w:tcW w:w="1980" w:type="dxa"/>
            <w:tcBorders>
              <w:top w:val="nil"/>
              <w:left w:val="single" w:sz="4" w:space="0" w:color="auto"/>
              <w:bottom w:val="single" w:sz="4" w:space="0" w:color="auto"/>
              <w:right w:val="single" w:sz="4" w:space="0" w:color="auto"/>
            </w:tcBorders>
            <w:noWrap/>
            <w:vAlign w:val="bottom"/>
          </w:tcPr>
          <w:p w:rsidR="001008A9" w:rsidRDefault="001008A9" w:rsidP="00803483">
            <w:pPr>
              <w:rPr>
                <w:rFonts w:ascii="Arial TUR" w:hAnsi="Arial TUR" w:cs="Arial TUR"/>
                <w:b/>
                <w:bCs/>
                <w:sz w:val="20"/>
                <w:szCs w:val="20"/>
              </w:rPr>
            </w:pPr>
            <w:r>
              <w:rPr>
                <w:rFonts w:ascii="Arial TUR" w:hAnsi="Arial TUR" w:cs="Arial TUR"/>
                <w:b/>
                <w:bCs/>
                <w:sz w:val="20"/>
                <w:szCs w:val="20"/>
              </w:rPr>
              <w:t>Tüketim</w:t>
            </w:r>
          </w:p>
        </w:tc>
        <w:tc>
          <w:tcPr>
            <w:tcW w:w="1260" w:type="dxa"/>
            <w:tcBorders>
              <w:top w:val="nil"/>
              <w:left w:val="nil"/>
              <w:bottom w:val="single" w:sz="4" w:space="0" w:color="auto"/>
              <w:right w:val="single" w:sz="4" w:space="0" w:color="auto"/>
            </w:tcBorders>
            <w:noWrap/>
            <w:vAlign w:val="bottom"/>
          </w:tcPr>
          <w:p w:rsidR="001008A9" w:rsidRDefault="001008A9" w:rsidP="00803483">
            <w:pPr>
              <w:jc w:val="right"/>
              <w:rPr>
                <w:rFonts w:ascii="Arial" w:hAnsi="Arial" w:cs="Arial"/>
                <w:sz w:val="20"/>
                <w:szCs w:val="20"/>
              </w:rPr>
            </w:pPr>
            <w:r>
              <w:rPr>
                <w:rFonts w:ascii="Arial" w:hAnsi="Arial" w:cs="Arial"/>
                <w:sz w:val="20"/>
                <w:szCs w:val="20"/>
              </w:rPr>
              <w:t>-0,2%</w:t>
            </w:r>
          </w:p>
        </w:tc>
        <w:tc>
          <w:tcPr>
            <w:tcW w:w="1260" w:type="dxa"/>
            <w:tcBorders>
              <w:top w:val="nil"/>
              <w:left w:val="nil"/>
              <w:bottom w:val="single" w:sz="4" w:space="0" w:color="auto"/>
              <w:right w:val="single" w:sz="4" w:space="0" w:color="auto"/>
            </w:tcBorders>
            <w:noWrap/>
            <w:vAlign w:val="bottom"/>
          </w:tcPr>
          <w:p w:rsidR="001008A9" w:rsidRDefault="001008A9" w:rsidP="00803483">
            <w:pPr>
              <w:jc w:val="right"/>
              <w:rPr>
                <w:rFonts w:ascii="Arial" w:hAnsi="Arial" w:cs="Arial"/>
                <w:sz w:val="20"/>
                <w:szCs w:val="20"/>
              </w:rPr>
            </w:pPr>
            <w:r>
              <w:rPr>
                <w:rFonts w:ascii="Arial" w:hAnsi="Arial" w:cs="Arial"/>
                <w:sz w:val="20"/>
                <w:szCs w:val="20"/>
              </w:rPr>
              <w:t>-0,1%</w:t>
            </w:r>
          </w:p>
        </w:tc>
      </w:tr>
      <w:tr w:rsidR="001008A9">
        <w:trPr>
          <w:trHeight w:val="255"/>
        </w:trPr>
        <w:tc>
          <w:tcPr>
            <w:tcW w:w="1980" w:type="dxa"/>
            <w:tcBorders>
              <w:top w:val="nil"/>
              <w:left w:val="single" w:sz="4" w:space="0" w:color="auto"/>
              <w:bottom w:val="single" w:sz="4" w:space="0" w:color="auto"/>
              <w:right w:val="single" w:sz="4" w:space="0" w:color="auto"/>
            </w:tcBorders>
            <w:noWrap/>
            <w:vAlign w:val="bottom"/>
          </w:tcPr>
          <w:p w:rsidR="001008A9" w:rsidRDefault="001008A9" w:rsidP="00803483">
            <w:pPr>
              <w:rPr>
                <w:rFonts w:ascii="Arial TUR" w:hAnsi="Arial TUR" w:cs="Arial TUR"/>
                <w:b/>
                <w:bCs/>
                <w:sz w:val="20"/>
                <w:szCs w:val="20"/>
              </w:rPr>
            </w:pPr>
            <w:r>
              <w:rPr>
                <w:rFonts w:ascii="Arial TUR" w:hAnsi="Arial TUR" w:cs="Arial TUR"/>
                <w:b/>
                <w:bCs/>
                <w:sz w:val="20"/>
                <w:szCs w:val="20"/>
              </w:rPr>
              <w:t>Özel Yatırım</w:t>
            </w:r>
          </w:p>
        </w:tc>
        <w:tc>
          <w:tcPr>
            <w:tcW w:w="1260" w:type="dxa"/>
            <w:tcBorders>
              <w:top w:val="nil"/>
              <w:left w:val="nil"/>
              <w:bottom w:val="single" w:sz="4" w:space="0" w:color="auto"/>
              <w:right w:val="single" w:sz="4" w:space="0" w:color="auto"/>
            </w:tcBorders>
            <w:noWrap/>
            <w:vAlign w:val="bottom"/>
          </w:tcPr>
          <w:p w:rsidR="001008A9" w:rsidRDefault="001008A9" w:rsidP="00803483">
            <w:pPr>
              <w:jc w:val="right"/>
              <w:rPr>
                <w:rFonts w:ascii="Arial" w:hAnsi="Arial" w:cs="Arial"/>
                <w:sz w:val="20"/>
                <w:szCs w:val="20"/>
              </w:rPr>
            </w:pPr>
            <w:r>
              <w:rPr>
                <w:rFonts w:ascii="Arial" w:hAnsi="Arial" w:cs="Arial"/>
                <w:sz w:val="20"/>
                <w:szCs w:val="20"/>
              </w:rPr>
              <w:t>-3,5%</w:t>
            </w:r>
          </w:p>
        </w:tc>
        <w:tc>
          <w:tcPr>
            <w:tcW w:w="1260" w:type="dxa"/>
            <w:tcBorders>
              <w:top w:val="nil"/>
              <w:left w:val="nil"/>
              <w:bottom w:val="single" w:sz="4" w:space="0" w:color="auto"/>
              <w:right w:val="single" w:sz="4" w:space="0" w:color="auto"/>
            </w:tcBorders>
            <w:noWrap/>
            <w:vAlign w:val="bottom"/>
          </w:tcPr>
          <w:p w:rsidR="001008A9" w:rsidRDefault="001008A9" w:rsidP="00803483">
            <w:pPr>
              <w:jc w:val="right"/>
              <w:rPr>
                <w:rFonts w:ascii="Arial" w:hAnsi="Arial" w:cs="Arial"/>
                <w:sz w:val="20"/>
                <w:szCs w:val="20"/>
              </w:rPr>
            </w:pPr>
            <w:r>
              <w:rPr>
                <w:rFonts w:ascii="Arial" w:hAnsi="Arial" w:cs="Arial"/>
                <w:sz w:val="20"/>
                <w:szCs w:val="20"/>
              </w:rPr>
              <w:t>-0,8%</w:t>
            </w:r>
          </w:p>
        </w:tc>
      </w:tr>
      <w:tr w:rsidR="001008A9">
        <w:trPr>
          <w:trHeight w:val="255"/>
        </w:trPr>
        <w:tc>
          <w:tcPr>
            <w:tcW w:w="1980" w:type="dxa"/>
            <w:tcBorders>
              <w:top w:val="nil"/>
              <w:left w:val="single" w:sz="4" w:space="0" w:color="auto"/>
              <w:bottom w:val="single" w:sz="4" w:space="0" w:color="auto"/>
              <w:right w:val="single" w:sz="4" w:space="0" w:color="auto"/>
            </w:tcBorders>
            <w:noWrap/>
            <w:vAlign w:val="bottom"/>
          </w:tcPr>
          <w:p w:rsidR="001008A9" w:rsidRDefault="001008A9" w:rsidP="00803483">
            <w:pPr>
              <w:rPr>
                <w:rFonts w:ascii="Arial TUR" w:hAnsi="Arial TUR" w:cs="Arial TUR"/>
                <w:b/>
                <w:bCs/>
                <w:sz w:val="20"/>
                <w:szCs w:val="20"/>
              </w:rPr>
            </w:pPr>
            <w:r>
              <w:rPr>
                <w:rFonts w:ascii="Arial TUR" w:hAnsi="Arial TUR" w:cs="Arial TUR"/>
                <w:b/>
                <w:bCs/>
                <w:sz w:val="20"/>
                <w:szCs w:val="20"/>
              </w:rPr>
              <w:t>Kamu Harcamaları</w:t>
            </w:r>
          </w:p>
        </w:tc>
        <w:tc>
          <w:tcPr>
            <w:tcW w:w="1260" w:type="dxa"/>
            <w:tcBorders>
              <w:top w:val="nil"/>
              <w:left w:val="nil"/>
              <w:bottom w:val="single" w:sz="4" w:space="0" w:color="auto"/>
              <w:right w:val="single" w:sz="4" w:space="0" w:color="auto"/>
            </w:tcBorders>
            <w:noWrap/>
            <w:vAlign w:val="bottom"/>
          </w:tcPr>
          <w:p w:rsidR="001008A9" w:rsidRDefault="001008A9" w:rsidP="00803483">
            <w:pPr>
              <w:jc w:val="right"/>
              <w:rPr>
                <w:rFonts w:ascii="Arial" w:hAnsi="Arial" w:cs="Arial"/>
                <w:sz w:val="20"/>
                <w:szCs w:val="20"/>
              </w:rPr>
            </w:pPr>
            <w:r>
              <w:rPr>
                <w:rFonts w:ascii="Arial" w:hAnsi="Arial" w:cs="Arial"/>
                <w:sz w:val="20"/>
                <w:szCs w:val="20"/>
              </w:rPr>
              <w:t>3,3%</w:t>
            </w:r>
          </w:p>
        </w:tc>
        <w:tc>
          <w:tcPr>
            <w:tcW w:w="1260" w:type="dxa"/>
            <w:tcBorders>
              <w:top w:val="nil"/>
              <w:left w:val="nil"/>
              <w:bottom w:val="single" w:sz="4" w:space="0" w:color="auto"/>
              <w:right w:val="single" w:sz="4" w:space="0" w:color="auto"/>
            </w:tcBorders>
            <w:noWrap/>
            <w:vAlign w:val="bottom"/>
          </w:tcPr>
          <w:p w:rsidR="001008A9" w:rsidRDefault="001008A9" w:rsidP="00803483">
            <w:pPr>
              <w:jc w:val="right"/>
              <w:rPr>
                <w:rFonts w:ascii="Arial" w:hAnsi="Arial" w:cs="Arial"/>
                <w:sz w:val="20"/>
                <w:szCs w:val="20"/>
              </w:rPr>
            </w:pPr>
            <w:r>
              <w:rPr>
                <w:rFonts w:ascii="Arial" w:hAnsi="Arial" w:cs="Arial"/>
                <w:sz w:val="20"/>
                <w:szCs w:val="20"/>
              </w:rPr>
              <w:t>0,4%</w:t>
            </w:r>
          </w:p>
        </w:tc>
      </w:tr>
      <w:tr w:rsidR="001008A9">
        <w:trPr>
          <w:trHeight w:val="255"/>
        </w:trPr>
        <w:tc>
          <w:tcPr>
            <w:tcW w:w="1980" w:type="dxa"/>
            <w:tcBorders>
              <w:top w:val="nil"/>
              <w:left w:val="single" w:sz="4" w:space="0" w:color="auto"/>
              <w:bottom w:val="single" w:sz="4" w:space="0" w:color="auto"/>
              <w:right w:val="single" w:sz="4" w:space="0" w:color="auto"/>
            </w:tcBorders>
            <w:noWrap/>
            <w:vAlign w:val="bottom"/>
          </w:tcPr>
          <w:p w:rsidR="001008A9" w:rsidRDefault="001008A9" w:rsidP="00803483">
            <w:pPr>
              <w:rPr>
                <w:rFonts w:ascii="Arial TUR" w:hAnsi="Arial TUR" w:cs="Arial TUR"/>
                <w:b/>
                <w:bCs/>
                <w:sz w:val="20"/>
                <w:szCs w:val="20"/>
              </w:rPr>
            </w:pPr>
            <w:r>
              <w:rPr>
                <w:rFonts w:ascii="Arial TUR" w:hAnsi="Arial TUR" w:cs="Arial TUR"/>
                <w:b/>
                <w:bCs/>
                <w:sz w:val="20"/>
                <w:szCs w:val="20"/>
              </w:rPr>
              <w:t>Stok Değişimi</w:t>
            </w:r>
          </w:p>
        </w:tc>
        <w:tc>
          <w:tcPr>
            <w:tcW w:w="1260" w:type="dxa"/>
            <w:tcBorders>
              <w:top w:val="nil"/>
              <w:left w:val="nil"/>
              <w:bottom w:val="single" w:sz="4" w:space="0" w:color="auto"/>
              <w:right w:val="single" w:sz="4" w:space="0" w:color="auto"/>
            </w:tcBorders>
            <w:noWrap/>
            <w:vAlign w:val="bottom"/>
          </w:tcPr>
          <w:p w:rsidR="001008A9" w:rsidRDefault="001008A9" w:rsidP="00803483">
            <w:pPr>
              <w:jc w:val="right"/>
              <w:rPr>
                <w:rFonts w:ascii="Arial" w:hAnsi="Arial" w:cs="Arial"/>
                <w:sz w:val="20"/>
                <w:szCs w:val="20"/>
              </w:rPr>
            </w:pPr>
            <w:r>
              <w:rPr>
                <w:rFonts w:ascii="Arial" w:hAnsi="Arial" w:cs="Arial"/>
                <w:sz w:val="20"/>
                <w:szCs w:val="20"/>
              </w:rPr>
              <w:t>---</w:t>
            </w:r>
          </w:p>
        </w:tc>
        <w:tc>
          <w:tcPr>
            <w:tcW w:w="1260" w:type="dxa"/>
            <w:tcBorders>
              <w:top w:val="nil"/>
              <w:left w:val="nil"/>
              <w:bottom w:val="single" w:sz="4" w:space="0" w:color="auto"/>
              <w:right w:val="single" w:sz="4" w:space="0" w:color="auto"/>
            </w:tcBorders>
            <w:noWrap/>
            <w:vAlign w:val="bottom"/>
          </w:tcPr>
          <w:p w:rsidR="001008A9" w:rsidRDefault="001008A9" w:rsidP="00803483">
            <w:pPr>
              <w:jc w:val="right"/>
              <w:rPr>
                <w:rFonts w:ascii="Arial" w:hAnsi="Arial" w:cs="Arial"/>
                <w:sz w:val="20"/>
                <w:szCs w:val="20"/>
              </w:rPr>
            </w:pPr>
            <w:r>
              <w:rPr>
                <w:rFonts w:ascii="Arial" w:hAnsi="Arial" w:cs="Arial"/>
                <w:sz w:val="20"/>
                <w:szCs w:val="20"/>
              </w:rPr>
              <w:t>-1,6%</w:t>
            </w:r>
          </w:p>
        </w:tc>
      </w:tr>
      <w:tr w:rsidR="001008A9">
        <w:trPr>
          <w:trHeight w:val="255"/>
        </w:trPr>
        <w:tc>
          <w:tcPr>
            <w:tcW w:w="1980" w:type="dxa"/>
            <w:tcBorders>
              <w:top w:val="nil"/>
              <w:left w:val="single" w:sz="4" w:space="0" w:color="auto"/>
              <w:bottom w:val="single" w:sz="4" w:space="0" w:color="auto"/>
              <w:right w:val="single" w:sz="4" w:space="0" w:color="auto"/>
            </w:tcBorders>
            <w:noWrap/>
            <w:vAlign w:val="bottom"/>
          </w:tcPr>
          <w:p w:rsidR="001008A9" w:rsidRDefault="001008A9" w:rsidP="00803483">
            <w:pPr>
              <w:rPr>
                <w:rFonts w:ascii="Arial TUR" w:hAnsi="Arial TUR" w:cs="Arial TUR"/>
                <w:b/>
                <w:bCs/>
                <w:sz w:val="20"/>
                <w:szCs w:val="20"/>
              </w:rPr>
            </w:pPr>
            <w:r>
              <w:rPr>
                <w:rFonts w:ascii="Arial TUR" w:hAnsi="Arial TUR" w:cs="Arial TUR"/>
                <w:b/>
                <w:bCs/>
                <w:sz w:val="20"/>
                <w:szCs w:val="20"/>
              </w:rPr>
              <w:t>İhracat</w:t>
            </w:r>
          </w:p>
        </w:tc>
        <w:tc>
          <w:tcPr>
            <w:tcW w:w="1260" w:type="dxa"/>
            <w:tcBorders>
              <w:top w:val="nil"/>
              <w:left w:val="nil"/>
              <w:bottom w:val="single" w:sz="4" w:space="0" w:color="auto"/>
              <w:right w:val="single" w:sz="4" w:space="0" w:color="auto"/>
            </w:tcBorders>
            <w:noWrap/>
            <w:vAlign w:val="bottom"/>
          </w:tcPr>
          <w:p w:rsidR="001008A9" w:rsidRDefault="001008A9" w:rsidP="00803483">
            <w:pPr>
              <w:jc w:val="right"/>
              <w:rPr>
                <w:rFonts w:ascii="Arial" w:hAnsi="Arial" w:cs="Arial"/>
                <w:sz w:val="20"/>
                <w:szCs w:val="20"/>
              </w:rPr>
            </w:pPr>
            <w:r>
              <w:rPr>
                <w:rFonts w:ascii="Arial" w:hAnsi="Arial" w:cs="Arial"/>
                <w:sz w:val="20"/>
                <w:szCs w:val="20"/>
              </w:rPr>
              <w:t>16,0%</w:t>
            </w:r>
          </w:p>
        </w:tc>
        <w:tc>
          <w:tcPr>
            <w:tcW w:w="1260" w:type="dxa"/>
            <w:tcBorders>
              <w:top w:val="nil"/>
              <w:left w:val="nil"/>
              <w:bottom w:val="single" w:sz="4" w:space="0" w:color="auto"/>
              <w:right w:val="single" w:sz="4" w:space="0" w:color="auto"/>
            </w:tcBorders>
            <w:noWrap/>
            <w:vAlign w:val="bottom"/>
          </w:tcPr>
          <w:p w:rsidR="001008A9" w:rsidRDefault="001008A9" w:rsidP="00803483">
            <w:pPr>
              <w:jc w:val="right"/>
              <w:rPr>
                <w:rFonts w:ascii="Arial" w:hAnsi="Arial" w:cs="Arial"/>
                <w:sz w:val="20"/>
                <w:szCs w:val="20"/>
              </w:rPr>
            </w:pPr>
            <w:r>
              <w:rPr>
                <w:rFonts w:ascii="Arial" w:hAnsi="Arial" w:cs="Arial"/>
                <w:sz w:val="20"/>
                <w:szCs w:val="20"/>
              </w:rPr>
              <w:t>3,7%</w:t>
            </w:r>
          </w:p>
        </w:tc>
      </w:tr>
      <w:tr w:rsidR="001008A9">
        <w:trPr>
          <w:trHeight w:val="255"/>
        </w:trPr>
        <w:tc>
          <w:tcPr>
            <w:tcW w:w="1980" w:type="dxa"/>
            <w:tcBorders>
              <w:top w:val="nil"/>
              <w:left w:val="single" w:sz="4" w:space="0" w:color="auto"/>
              <w:bottom w:val="single" w:sz="4" w:space="0" w:color="auto"/>
              <w:right w:val="single" w:sz="4" w:space="0" w:color="auto"/>
            </w:tcBorders>
            <w:noWrap/>
            <w:vAlign w:val="bottom"/>
          </w:tcPr>
          <w:p w:rsidR="001008A9" w:rsidRDefault="001008A9" w:rsidP="00803483">
            <w:pPr>
              <w:rPr>
                <w:rFonts w:ascii="Arial TUR" w:hAnsi="Arial TUR" w:cs="Arial TUR"/>
                <w:b/>
                <w:bCs/>
                <w:sz w:val="20"/>
                <w:szCs w:val="20"/>
              </w:rPr>
            </w:pPr>
            <w:r>
              <w:rPr>
                <w:rFonts w:ascii="Arial TUR" w:hAnsi="Arial TUR" w:cs="Arial TUR"/>
                <w:b/>
                <w:bCs/>
                <w:sz w:val="20"/>
                <w:szCs w:val="20"/>
              </w:rPr>
              <w:t>İthalat</w:t>
            </w:r>
          </w:p>
        </w:tc>
        <w:tc>
          <w:tcPr>
            <w:tcW w:w="1260" w:type="dxa"/>
            <w:tcBorders>
              <w:top w:val="nil"/>
              <w:left w:val="nil"/>
              <w:bottom w:val="single" w:sz="4" w:space="0" w:color="auto"/>
              <w:right w:val="single" w:sz="4" w:space="0" w:color="auto"/>
            </w:tcBorders>
            <w:noWrap/>
            <w:vAlign w:val="bottom"/>
          </w:tcPr>
          <w:p w:rsidR="001008A9" w:rsidRDefault="001008A9" w:rsidP="00803483">
            <w:pPr>
              <w:jc w:val="right"/>
              <w:rPr>
                <w:rFonts w:ascii="Arial" w:hAnsi="Arial" w:cs="Arial"/>
                <w:sz w:val="20"/>
                <w:szCs w:val="20"/>
              </w:rPr>
            </w:pPr>
            <w:r>
              <w:rPr>
                <w:rFonts w:ascii="Arial" w:hAnsi="Arial" w:cs="Arial"/>
                <w:sz w:val="20"/>
                <w:szCs w:val="20"/>
              </w:rPr>
              <w:t>-4,8%</w:t>
            </w:r>
          </w:p>
        </w:tc>
        <w:tc>
          <w:tcPr>
            <w:tcW w:w="1260" w:type="dxa"/>
            <w:tcBorders>
              <w:top w:val="nil"/>
              <w:left w:val="nil"/>
              <w:bottom w:val="single" w:sz="4" w:space="0" w:color="auto"/>
              <w:right w:val="single" w:sz="4" w:space="0" w:color="auto"/>
            </w:tcBorders>
            <w:noWrap/>
            <w:vAlign w:val="bottom"/>
          </w:tcPr>
          <w:p w:rsidR="001008A9" w:rsidRDefault="001008A9" w:rsidP="00803483">
            <w:pPr>
              <w:jc w:val="right"/>
              <w:rPr>
                <w:rFonts w:ascii="Arial" w:hAnsi="Arial" w:cs="Arial"/>
                <w:sz w:val="20"/>
                <w:szCs w:val="20"/>
              </w:rPr>
            </w:pPr>
            <w:r>
              <w:rPr>
                <w:rFonts w:ascii="Arial" w:hAnsi="Arial" w:cs="Arial"/>
                <w:sz w:val="20"/>
                <w:szCs w:val="20"/>
              </w:rPr>
              <w:t>1,5%</w:t>
            </w:r>
          </w:p>
        </w:tc>
      </w:tr>
      <w:tr w:rsidR="001008A9">
        <w:trPr>
          <w:trHeight w:val="255"/>
        </w:trPr>
        <w:tc>
          <w:tcPr>
            <w:tcW w:w="1980" w:type="dxa"/>
            <w:tcBorders>
              <w:top w:val="nil"/>
              <w:left w:val="single" w:sz="4" w:space="0" w:color="auto"/>
              <w:bottom w:val="single" w:sz="4" w:space="0" w:color="auto"/>
              <w:right w:val="single" w:sz="4" w:space="0" w:color="auto"/>
            </w:tcBorders>
            <w:noWrap/>
            <w:vAlign w:val="bottom"/>
          </w:tcPr>
          <w:p w:rsidR="001008A9" w:rsidRDefault="001008A9" w:rsidP="00803483">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1008A9" w:rsidRDefault="001008A9" w:rsidP="00803483">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1008A9" w:rsidRDefault="001008A9" w:rsidP="00803483">
            <w:pPr>
              <w:rPr>
                <w:rFonts w:ascii="Arial" w:hAnsi="Arial" w:cs="Arial"/>
                <w:sz w:val="20"/>
                <w:szCs w:val="20"/>
              </w:rPr>
            </w:pPr>
            <w:r>
              <w:rPr>
                <w:rFonts w:ascii="Arial" w:hAnsi="Arial" w:cs="Arial"/>
                <w:sz w:val="20"/>
                <w:szCs w:val="20"/>
              </w:rPr>
              <w:t> </w:t>
            </w:r>
          </w:p>
        </w:tc>
      </w:tr>
      <w:tr w:rsidR="001008A9">
        <w:trPr>
          <w:trHeight w:val="255"/>
        </w:trPr>
        <w:tc>
          <w:tcPr>
            <w:tcW w:w="1980" w:type="dxa"/>
            <w:tcBorders>
              <w:top w:val="nil"/>
              <w:left w:val="single" w:sz="4" w:space="0" w:color="auto"/>
              <w:bottom w:val="single" w:sz="4" w:space="0" w:color="auto"/>
              <w:right w:val="single" w:sz="4" w:space="0" w:color="auto"/>
            </w:tcBorders>
            <w:noWrap/>
            <w:vAlign w:val="bottom"/>
          </w:tcPr>
          <w:p w:rsidR="001008A9" w:rsidRDefault="001008A9" w:rsidP="00803483">
            <w:pPr>
              <w:rPr>
                <w:rFonts w:ascii="Arial TUR" w:hAnsi="Arial TUR" w:cs="Arial TUR"/>
                <w:b/>
                <w:bCs/>
                <w:sz w:val="20"/>
                <w:szCs w:val="20"/>
              </w:rPr>
            </w:pPr>
            <w:r>
              <w:rPr>
                <w:rFonts w:ascii="Arial TUR" w:hAnsi="Arial TUR" w:cs="Arial TUR"/>
                <w:b/>
                <w:bCs/>
                <w:sz w:val="20"/>
                <w:szCs w:val="20"/>
              </w:rPr>
              <w:t>2011 – İkinci yarıyıl</w:t>
            </w:r>
          </w:p>
        </w:tc>
        <w:tc>
          <w:tcPr>
            <w:tcW w:w="1260" w:type="dxa"/>
            <w:tcBorders>
              <w:top w:val="nil"/>
              <w:left w:val="nil"/>
              <w:bottom w:val="single" w:sz="4" w:space="0" w:color="auto"/>
              <w:right w:val="single" w:sz="4" w:space="0" w:color="auto"/>
            </w:tcBorders>
            <w:noWrap/>
            <w:vAlign w:val="bottom"/>
          </w:tcPr>
          <w:p w:rsidR="001008A9" w:rsidRDefault="001008A9" w:rsidP="00803483">
            <w:pPr>
              <w:jc w:val="center"/>
              <w:rPr>
                <w:rFonts w:ascii="Arial TUR" w:hAnsi="Arial TUR" w:cs="Arial TUR"/>
                <w:b/>
                <w:bCs/>
                <w:sz w:val="20"/>
                <w:szCs w:val="20"/>
              </w:rPr>
            </w:pPr>
            <w:r>
              <w:rPr>
                <w:rFonts w:ascii="Arial TUR" w:hAnsi="Arial TUR" w:cs="Arial TUR"/>
                <w:b/>
                <w:bCs/>
                <w:sz w:val="20"/>
                <w:szCs w:val="20"/>
              </w:rPr>
              <w:t>Degişim</w:t>
            </w:r>
          </w:p>
        </w:tc>
        <w:tc>
          <w:tcPr>
            <w:tcW w:w="1260" w:type="dxa"/>
            <w:tcBorders>
              <w:top w:val="nil"/>
              <w:left w:val="nil"/>
              <w:bottom w:val="single" w:sz="4" w:space="0" w:color="auto"/>
              <w:right w:val="single" w:sz="4" w:space="0" w:color="auto"/>
            </w:tcBorders>
            <w:noWrap/>
            <w:vAlign w:val="bottom"/>
          </w:tcPr>
          <w:p w:rsidR="001008A9" w:rsidRDefault="001008A9" w:rsidP="00803483">
            <w:pPr>
              <w:jc w:val="center"/>
              <w:rPr>
                <w:rFonts w:ascii="Arial TUR" w:hAnsi="Arial TUR" w:cs="Arial TUR"/>
                <w:b/>
                <w:bCs/>
                <w:sz w:val="20"/>
                <w:szCs w:val="20"/>
              </w:rPr>
            </w:pPr>
            <w:r>
              <w:rPr>
                <w:rFonts w:ascii="Arial TUR" w:hAnsi="Arial TUR" w:cs="Arial TUR"/>
                <w:b/>
                <w:bCs/>
                <w:sz w:val="20"/>
                <w:szCs w:val="20"/>
              </w:rPr>
              <w:t>Katkılar</w:t>
            </w:r>
          </w:p>
        </w:tc>
      </w:tr>
      <w:tr w:rsidR="001008A9">
        <w:trPr>
          <w:trHeight w:val="255"/>
        </w:trPr>
        <w:tc>
          <w:tcPr>
            <w:tcW w:w="1980" w:type="dxa"/>
            <w:tcBorders>
              <w:top w:val="nil"/>
              <w:left w:val="single" w:sz="4" w:space="0" w:color="auto"/>
              <w:bottom w:val="single" w:sz="4" w:space="0" w:color="auto"/>
              <w:right w:val="single" w:sz="4" w:space="0" w:color="auto"/>
            </w:tcBorders>
            <w:noWrap/>
            <w:vAlign w:val="bottom"/>
          </w:tcPr>
          <w:p w:rsidR="001008A9" w:rsidRDefault="001008A9" w:rsidP="00803483">
            <w:pPr>
              <w:rPr>
                <w:rFonts w:ascii="Arial TUR" w:hAnsi="Arial TUR" w:cs="Arial TUR"/>
                <w:b/>
                <w:bCs/>
                <w:sz w:val="20"/>
                <w:szCs w:val="20"/>
              </w:rPr>
            </w:pPr>
            <w:r>
              <w:rPr>
                <w:rFonts w:ascii="Arial TUR" w:hAnsi="Arial TUR" w:cs="Arial TUR"/>
                <w:b/>
                <w:bCs/>
                <w:sz w:val="20"/>
                <w:szCs w:val="20"/>
              </w:rPr>
              <w:t>Tüketim</w:t>
            </w:r>
          </w:p>
        </w:tc>
        <w:tc>
          <w:tcPr>
            <w:tcW w:w="1260" w:type="dxa"/>
            <w:tcBorders>
              <w:top w:val="nil"/>
              <w:left w:val="nil"/>
              <w:bottom w:val="single" w:sz="4" w:space="0" w:color="auto"/>
              <w:right w:val="single" w:sz="4" w:space="0" w:color="auto"/>
            </w:tcBorders>
            <w:noWrap/>
            <w:vAlign w:val="bottom"/>
          </w:tcPr>
          <w:p w:rsidR="001008A9" w:rsidRDefault="001008A9" w:rsidP="00803483">
            <w:pPr>
              <w:jc w:val="right"/>
              <w:rPr>
                <w:rFonts w:ascii="Arial" w:hAnsi="Arial" w:cs="Arial"/>
                <w:sz w:val="20"/>
                <w:szCs w:val="20"/>
              </w:rPr>
            </w:pPr>
            <w:r>
              <w:rPr>
                <w:rFonts w:ascii="Arial" w:hAnsi="Arial" w:cs="Arial"/>
                <w:sz w:val="20"/>
                <w:szCs w:val="20"/>
              </w:rPr>
              <w:t>5,6%</w:t>
            </w:r>
          </w:p>
        </w:tc>
        <w:tc>
          <w:tcPr>
            <w:tcW w:w="1260" w:type="dxa"/>
            <w:tcBorders>
              <w:top w:val="nil"/>
              <w:left w:val="nil"/>
              <w:bottom w:val="single" w:sz="4" w:space="0" w:color="auto"/>
              <w:right w:val="single" w:sz="4" w:space="0" w:color="auto"/>
            </w:tcBorders>
            <w:noWrap/>
            <w:vAlign w:val="bottom"/>
          </w:tcPr>
          <w:p w:rsidR="001008A9" w:rsidRDefault="001008A9" w:rsidP="00803483">
            <w:pPr>
              <w:jc w:val="right"/>
              <w:rPr>
                <w:rFonts w:ascii="Arial" w:hAnsi="Arial" w:cs="Arial"/>
                <w:sz w:val="20"/>
                <w:szCs w:val="20"/>
              </w:rPr>
            </w:pPr>
            <w:r>
              <w:rPr>
                <w:rFonts w:ascii="Arial" w:hAnsi="Arial" w:cs="Arial"/>
                <w:sz w:val="20"/>
                <w:szCs w:val="20"/>
              </w:rPr>
              <w:t>3,8%</w:t>
            </w:r>
          </w:p>
        </w:tc>
      </w:tr>
      <w:tr w:rsidR="001008A9">
        <w:trPr>
          <w:trHeight w:val="255"/>
        </w:trPr>
        <w:tc>
          <w:tcPr>
            <w:tcW w:w="1980" w:type="dxa"/>
            <w:tcBorders>
              <w:top w:val="nil"/>
              <w:left w:val="single" w:sz="4" w:space="0" w:color="auto"/>
              <w:bottom w:val="single" w:sz="4" w:space="0" w:color="auto"/>
              <w:right w:val="single" w:sz="4" w:space="0" w:color="auto"/>
            </w:tcBorders>
            <w:noWrap/>
            <w:vAlign w:val="bottom"/>
          </w:tcPr>
          <w:p w:rsidR="001008A9" w:rsidRDefault="001008A9" w:rsidP="00803483">
            <w:pPr>
              <w:rPr>
                <w:rFonts w:ascii="Arial TUR" w:hAnsi="Arial TUR" w:cs="Arial TUR"/>
                <w:b/>
                <w:bCs/>
                <w:sz w:val="20"/>
                <w:szCs w:val="20"/>
              </w:rPr>
            </w:pPr>
            <w:r>
              <w:rPr>
                <w:rFonts w:ascii="Arial TUR" w:hAnsi="Arial TUR" w:cs="Arial TUR"/>
                <w:b/>
                <w:bCs/>
                <w:sz w:val="20"/>
                <w:szCs w:val="20"/>
              </w:rPr>
              <w:t>Özel Yatırım</w:t>
            </w:r>
          </w:p>
        </w:tc>
        <w:tc>
          <w:tcPr>
            <w:tcW w:w="1260" w:type="dxa"/>
            <w:tcBorders>
              <w:top w:val="nil"/>
              <w:left w:val="nil"/>
              <w:bottom w:val="single" w:sz="4" w:space="0" w:color="auto"/>
              <w:right w:val="single" w:sz="4" w:space="0" w:color="auto"/>
            </w:tcBorders>
            <w:noWrap/>
            <w:vAlign w:val="bottom"/>
          </w:tcPr>
          <w:p w:rsidR="001008A9" w:rsidRDefault="001008A9" w:rsidP="00803483">
            <w:pPr>
              <w:jc w:val="right"/>
              <w:rPr>
                <w:rFonts w:ascii="Arial" w:hAnsi="Arial" w:cs="Arial"/>
                <w:sz w:val="20"/>
                <w:szCs w:val="20"/>
              </w:rPr>
            </w:pPr>
            <w:r>
              <w:rPr>
                <w:rFonts w:ascii="Arial" w:hAnsi="Arial" w:cs="Arial"/>
                <w:sz w:val="20"/>
                <w:szCs w:val="20"/>
              </w:rPr>
              <w:t>10,4%</w:t>
            </w:r>
          </w:p>
        </w:tc>
        <w:tc>
          <w:tcPr>
            <w:tcW w:w="1260" w:type="dxa"/>
            <w:tcBorders>
              <w:top w:val="nil"/>
              <w:left w:val="nil"/>
              <w:bottom w:val="single" w:sz="4" w:space="0" w:color="auto"/>
              <w:right w:val="single" w:sz="4" w:space="0" w:color="auto"/>
            </w:tcBorders>
            <w:noWrap/>
            <w:vAlign w:val="bottom"/>
          </w:tcPr>
          <w:p w:rsidR="001008A9" w:rsidRDefault="001008A9" w:rsidP="00803483">
            <w:pPr>
              <w:jc w:val="right"/>
              <w:rPr>
                <w:rFonts w:ascii="Arial" w:hAnsi="Arial" w:cs="Arial"/>
                <w:sz w:val="20"/>
                <w:szCs w:val="20"/>
              </w:rPr>
            </w:pPr>
            <w:r>
              <w:rPr>
                <w:rFonts w:ascii="Arial" w:hAnsi="Arial" w:cs="Arial"/>
                <w:sz w:val="20"/>
                <w:szCs w:val="20"/>
              </w:rPr>
              <w:t>2,1%</w:t>
            </w:r>
          </w:p>
        </w:tc>
      </w:tr>
      <w:tr w:rsidR="001008A9">
        <w:trPr>
          <w:trHeight w:val="255"/>
        </w:trPr>
        <w:tc>
          <w:tcPr>
            <w:tcW w:w="1980" w:type="dxa"/>
            <w:tcBorders>
              <w:top w:val="nil"/>
              <w:left w:val="single" w:sz="4" w:space="0" w:color="auto"/>
              <w:bottom w:val="single" w:sz="4" w:space="0" w:color="auto"/>
              <w:right w:val="single" w:sz="4" w:space="0" w:color="auto"/>
            </w:tcBorders>
            <w:noWrap/>
            <w:vAlign w:val="bottom"/>
          </w:tcPr>
          <w:p w:rsidR="001008A9" w:rsidRDefault="001008A9" w:rsidP="00803483">
            <w:pPr>
              <w:rPr>
                <w:rFonts w:ascii="Arial TUR" w:hAnsi="Arial TUR" w:cs="Arial TUR"/>
                <w:b/>
                <w:bCs/>
                <w:sz w:val="20"/>
                <w:szCs w:val="20"/>
              </w:rPr>
            </w:pPr>
            <w:r>
              <w:rPr>
                <w:rFonts w:ascii="Arial TUR" w:hAnsi="Arial TUR" w:cs="Arial TUR"/>
                <w:b/>
                <w:bCs/>
                <w:sz w:val="20"/>
                <w:szCs w:val="20"/>
              </w:rPr>
              <w:t>Kamu Harcamaları</w:t>
            </w:r>
          </w:p>
        </w:tc>
        <w:tc>
          <w:tcPr>
            <w:tcW w:w="1260" w:type="dxa"/>
            <w:tcBorders>
              <w:top w:val="nil"/>
              <w:left w:val="nil"/>
              <w:bottom w:val="single" w:sz="4" w:space="0" w:color="auto"/>
              <w:right w:val="single" w:sz="4" w:space="0" w:color="auto"/>
            </w:tcBorders>
            <w:noWrap/>
            <w:vAlign w:val="bottom"/>
          </w:tcPr>
          <w:p w:rsidR="001008A9" w:rsidRDefault="001008A9" w:rsidP="00803483">
            <w:pPr>
              <w:jc w:val="right"/>
              <w:rPr>
                <w:rFonts w:ascii="Arial" w:hAnsi="Arial" w:cs="Arial"/>
                <w:sz w:val="20"/>
                <w:szCs w:val="20"/>
              </w:rPr>
            </w:pPr>
            <w:r>
              <w:rPr>
                <w:rFonts w:ascii="Arial" w:hAnsi="Arial" w:cs="Arial"/>
                <w:sz w:val="20"/>
                <w:szCs w:val="20"/>
              </w:rPr>
              <w:t>-0,3%</w:t>
            </w:r>
          </w:p>
        </w:tc>
        <w:tc>
          <w:tcPr>
            <w:tcW w:w="1260" w:type="dxa"/>
            <w:tcBorders>
              <w:top w:val="nil"/>
              <w:left w:val="nil"/>
              <w:bottom w:val="single" w:sz="4" w:space="0" w:color="auto"/>
              <w:right w:val="single" w:sz="4" w:space="0" w:color="auto"/>
            </w:tcBorders>
            <w:noWrap/>
            <w:vAlign w:val="bottom"/>
          </w:tcPr>
          <w:p w:rsidR="001008A9" w:rsidRDefault="001008A9" w:rsidP="00803483">
            <w:pPr>
              <w:jc w:val="right"/>
              <w:rPr>
                <w:rFonts w:ascii="Arial" w:hAnsi="Arial" w:cs="Arial"/>
                <w:sz w:val="20"/>
                <w:szCs w:val="20"/>
              </w:rPr>
            </w:pPr>
            <w:r>
              <w:rPr>
                <w:rFonts w:ascii="Arial" w:hAnsi="Arial" w:cs="Arial"/>
                <w:sz w:val="20"/>
                <w:szCs w:val="20"/>
              </w:rPr>
              <w:t>0,0%</w:t>
            </w:r>
          </w:p>
        </w:tc>
      </w:tr>
      <w:tr w:rsidR="001008A9">
        <w:trPr>
          <w:trHeight w:val="255"/>
        </w:trPr>
        <w:tc>
          <w:tcPr>
            <w:tcW w:w="1980" w:type="dxa"/>
            <w:tcBorders>
              <w:top w:val="nil"/>
              <w:left w:val="single" w:sz="4" w:space="0" w:color="auto"/>
              <w:bottom w:val="single" w:sz="4" w:space="0" w:color="auto"/>
              <w:right w:val="single" w:sz="4" w:space="0" w:color="auto"/>
            </w:tcBorders>
            <w:noWrap/>
            <w:vAlign w:val="bottom"/>
          </w:tcPr>
          <w:p w:rsidR="001008A9" w:rsidRDefault="001008A9" w:rsidP="00803483">
            <w:pPr>
              <w:rPr>
                <w:rFonts w:ascii="Arial TUR" w:hAnsi="Arial TUR" w:cs="Arial TUR"/>
                <w:b/>
                <w:bCs/>
                <w:sz w:val="20"/>
                <w:szCs w:val="20"/>
              </w:rPr>
            </w:pPr>
            <w:r>
              <w:rPr>
                <w:rFonts w:ascii="Arial TUR" w:hAnsi="Arial TUR" w:cs="Arial TUR"/>
                <w:b/>
                <w:bCs/>
                <w:sz w:val="20"/>
                <w:szCs w:val="20"/>
              </w:rPr>
              <w:t>Stok Değişimi</w:t>
            </w:r>
          </w:p>
        </w:tc>
        <w:tc>
          <w:tcPr>
            <w:tcW w:w="1260" w:type="dxa"/>
            <w:tcBorders>
              <w:top w:val="nil"/>
              <w:left w:val="nil"/>
              <w:bottom w:val="single" w:sz="4" w:space="0" w:color="auto"/>
              <w:right w:val="single" w:sz="4" w:space="0" w:color="auto"/>
            </w:tcBorders>
            <w:noWrap/>
            <w:vAlign w:val="bottom"/>
          </w:tcPr>
          <w:p w:rsidR="001008A9" w:rsidRDefault="001008A9" w:rsidP="00803483">
            <w:pPr>
              <w:jc w:val="right"/>
              <w:rPr>
                <w:rFonts w:ascii="Arial" w:hAnsi="Arial" w:cs="Arial"/>
                <w:sz w:val="20"/>
                <w:szCs w:val="20"/>
              </w:rPr>
            </w:pPr>
            <w:r>
              <w:rPr>
                <w:rFonts w:ascii="Arial" w:hAnsi="Arial" w:cs="Arial"/>
                <w:sz w:val="20"/>
                <w:szCs w:val="20"/>
              </w:rPr>
              <w:t>---</w:t>
            </w:r>
          </w:p>
        </w:tc>
        <w:tc>
          <w:tcPr>
            <w:tcW w:w="1260" w:type="dxa"/>
            <w:tcBorders>
              <w:top w:val="nil"/>
              <w:left w:val="nil"/>
              <w:bottom w:val="single" w:sz="4" w:space="0" w:color="auto"/>
              <w:right w:val="single" w:sz="4" w:space="0" w:color="auto"/>
            </w:tcBorders>
            <w:noWrap/>
            <w:vAlign w:val="bottom"/>
          </w:tcPr>
          <w:p w:rsidR="001008A9" w:rsidRDefault="001008A9" w:rsidP="00803483">
            <w:pPr>
              <w:jc w:val="right"/>
              <w:rPr>
                <w:rFonts w:ascii="Arial" w:hAnsi="Arial" w:cs="Arial"/>
                <w:sz w:val="20"/>
                <w:szCs w:val="20"/>
              </w:rPr>
            </w:pPr>
            <w:r>
              <w:rPr>
                <w:rFonts w:ascii="Arial" w:hAnsi="Arial" w:cs="Arial"/>
                <w:sz w:val="20"/>
                <w:szCs w:val="20"/>
              </w:rPr>
              <w:t>-0,9%</w:t>
            </w:r>
          </w:p>
        </w:tc>
      </w:tr>
      <w:tr w:rsidR="001008A9">
        <w:trPr>
          <w:trHeight w:val="255"/>
        </w:trPr>
        <w:tc>
          <w:tcPr>
            <w:tcW w:w="1980" w:type="dxa"/>
            <w:tcBorders>
              <w:top w:val="nil"/>
              <w:left w:val="single" w:sz="4" w:space="0" w:color="auto"/>
              <w:bottom w:val="single" w:sz="4" w:space="0" w:color="auto"/>
              <w:right w:val="single" w:sz="4" w:space="0" w:color="auto"/>
            </w:tcBorders>
            <w:noWrap/>
            <w:vAlign w:val="bottom"/>
          </w:tcPr>
          <w:p w:rsidR="001008A9" w:rsidRDefault="001008A9" w:rsidP="00803483">
            <w:pPr>
              <w:rPr>
                <w:rFonts w:ascii="Arial TUR" w:hAnsi="Arial TUR" w:cs="Arial TUR"/>
                <w:b/>
                <w:bCs/>
                <w:sz w:val="20"/>
                <w:szCs w:val="20"/>
              </w:rPr>
            </w:pPr>
            <w:r>
              <w:rPr>
                <w:rFonts w:ascii="Arial TUR" w:hAnsi="Arial TUR" w:cs="Arial TUR"/>
                <w:b/>
                <w:bCs/>
                <w:sz w:val="20"/>
                <w:szCs w:val="20"/>
              </w:rPr>
              <w:t>İhracat</w:t>
            </w:r>
          </w:p>
        </w:tc>
        <w:tc>
          <w:tcPr>
            <w:tcW w:w="1260" w:type="dxa"/>
            <w:tcBorders>
              <w:top w:val="nil"/>
              <w:left w:val="nil"/>
              <w:bottom w:val="single" w:sz="4" w:space="0" w:color="auto"/>
              <w:right w:val="single" w:sz="4" w:space="0" w:color="auto"/>
            </w:tcBorders>
            <w:noWrap/>
            <w:vAlign w:val="bottom"/>
          </w:tcPr>
          <w:p w:rsidR="001008A9" w:rsidRDefault="001008A9" w:rsidP="00803483">
            <w:pPr>
              <w:jc w:val="right"/>
              <w:rPr>
                <w:rFonts w:ascii="Arial" w:hAnsi="Arial" w:cs="Arial"/>
                <w:sz w:val="20"/>
                <w:szCs w:val="20"/>
              </w:rPr>
            </w:pPr>
            <w:r>
              <w:rPr>
                <w:rFonts w:ascii="Arial" w:hAnsi="Arial" w:cs="Arial"/>
                <w:sz w:val="20"/>
                <w:szCs w:val="20"/>
              </w:rPr>
              <w:t>8,4%</w:t>
            </w:r>
          </w:p>
        </w:tc>
        <w:tc>
          <w:tcPr>
            <w:tcW w:w="1260" w:type="dxa"/>
            <w:tcBorders>
              <w:top w:val="nil"/>
              <w:left w:val="nil"/>
              <w:bottom w:val="single" w:sz="4" w:space="0" w:color="auto"/>
              <w:right w:val="single" w:sz="4" w:space="0" w:color="auto"/>
            </w:tcBorders>
            <w:noWrap/>
            <w:vAlign w:val="bottom"/>
          </w:tcPr>
          <w:p w:rsidR="001008A9" w:rsidRDefault="001008A9" w:rsidP="00803483">
            <w:pPr>
              <w:jc w:val="right"/>
              <w:rPr>
                <w:rFonts w:ascii="Arial" w:hAnsi="Arial" w:cs="Arial"/>
                <w:sz w:val="20"/>
                <w:szCs w:val="20"/>
              </w:rPr>
            </w:pPr>
            <w:r>
              <w:rPr>
                <w:rFonts w:ascii="Arial" w:hAnsi="Arial" w:cs="Arial"/>
                <w:sz w:val="20"/>
                <w:szCs w:val="20"/>
              </w:rPr>
              <w:t>2,0%</w:t>
            </w:r>
          </w:p>
        </w:tc>
      </w:tr>
      <w:tr w:rsidR="001008A9">
        <w:trPr>
          <w:trHeight w:val="255"/>
        </w:trPr>
        <w:tc>
          <w:tcPr>
            <w:tcW w:w="1980" w:type="dxa"/>
            <w:tcBorders>
              <w:top w:val="nil"/>
              <w:left w:val="single" w:sz="4" w:space="0" w:color="auto"/>
              <w:bottom w:val="single" w:sz="4" w:space="0" w:color="auto"/>
              <w:right w:val="single" w:sz="4" w:space="0" w:color="auto"/>
            </w:tcBorders>
            <w:noWrap/>
            <w:vAlign w:val="bottom"/>
          </w:tcPr>
          <w:p w:rsidR="001008A9" w:rsidRDefault="001008A9" w:rsidP="00803483">
            <w:pPr>
              <w:rPr>
                <w:rFonts w:ascii="Arial TUR" w:hAnsi="Arial TUR" w:cs="Arial TUR"/>
                <w:b/>
                <w:bCs/>
                <w:sz w:val="20"/>
                <w:szCs w:val="20"/>
              </w:rPr>
            </w:pPr>
            <w:r>
              <w:rPr>
                <w:rFonts w:ascii="Arial TUR" w:hAnsi="Arial TUR" w:cs="Arial TUR"/>
                <w:b/>
                <w:bCs/>
                <w:sz w:val="20"/>
                <w:szCs w:val="20"/>
              </w:rPr>
              <w:t>İthalat</w:t>
            </w:r>
          </w:p>
        </w:tc>
        <w:tc>
          <w:tcPr>
            <w:tcW w:w="1260" w:type="dxa"/>
            <w:tcBorders>
              <w:top w:val="nil"/>
              <w:left w:val="nil"/>
              <w:bottom w:val="single" w:sz="4" w:space="0" w:color="auto"/>
              <w:right w:val="single" w:sz="4" w:space="0" w:color="auto"/>
            </w:tcBorders>
            <w:noWrap/>
            <w:vAlign w:val="bottom"/>
          </w:tcPr>
          <w:p w:rsidR="001008A9" w:rsidRDefault="001008A9" w:rsidP="00803483">
            <w:pPr>
              <w:jc w:val="right"/>
              <w:rPr>
                <w:rFonts w:ascii="Arial" w:hAnsi="Arial" w:cs="Arial"/>
                <w:sz w:val="20"/>
                <w:szCs w:val="20"/>
              </w:rPr>
            </w:pPr>
            <w:r>
              <w:rPr>
                <w:rFonts w:ascii="Arial" w:hAnsi="Arial" w:cs="Arial"/>
                <w:sz w:val="20"/>
                <w:szCs w:val="20"/>
              </w:rPr>
              <w:t>0,6%</w:t>
            </w:r>
          </w:p>
        </w:tc>
        <w:tc>
          <w:tcPr>
            <w:tcW w:w="1260" w:type="dxa"/>
            <w:tcBorders>
              <w:top w:val="nil"/>
              <w:left w:val="nil"/>
              <w:bottom w:val="single" w:sz="4" w:space="0" w:color="auto"/>
              <w:right w:val="single" w:sz="4" w:space="0" w:color="auto"/>
            </w:tcBorders>
            <w:noWrap/>
            <w:vAlign w:val="bottom"/>
          </w:tcPr>
          <w:p w:rsidR="001008A9" w:rsidRDefault="001008A9" w:rsidP="00803483">
            <w:pPr>
              <w:jc w:val="right"/>
              <w:rPr>
                <w:rFonts w:ascii="Arial" w:hAnsi="Arial" w:cs="Arial"/>
                <w:sz w:val="20"/>
                <w:szCs w:val="20"/>
              </w:rPr>
            </w:pPr>
            <w:r>
              <w:rPr>
                <w:rFonts w:ascii="Arial" w:hAnsi="Arial" w:cs="Arial"/>
                <w:sz w:val="20"/>
                <w:szCs w:val="20"/>
              </w:rPr>
              <w:t>-0,2%</w:t>
            </w:r>
          </w:p>
        </w:tc>
      </w:tr>
    </w:tbl>
    <w:p w:rsidR="001008A9" w:rsidRDefault="001008A9" w:rsidP="00530B03">
      <w:pPr>
        <w:pStyle w:val="NormalWeb"/>
        <w:spacing w:before="0" w:beforeAutospacing="0" w:after="0" w:afterAutospacing="0"/>
        <w:ind w:right="77"/>
        <w:rPr>
          <w:b/>
          <w:bCs/>
          <w:sz w:val="22"/>
          <w:szCs w:val="22"/>
        </w:rPr>
      </w:pPr>
    </w:p>
    <w:p w:rsidR="001008A9" w:rsidRDefault="001008A9" w:rsidP="00DD51D1">
      <w:pPr>
        <w:pStyle w:val="NormalWeb"/>
        <w:spacing w:before="0" w:beforeAutospacing="0" w:after="0" w:afterAutospacing="0" w:line="360" w:lineRule="auto"/>
        <w:ind w:right="77"/>
        <w:rPr>
          <w:rFonts w:ascii="Arial" w:hAnsi="Arial" w:cs="Arial"/>
          <w:b/>
          <w:bCs/>
          <w:sz w:val="20"/>
          <w:szCs w:val="20"/>
        </w:rPr>
      </w:pPr>
    </w:p>
    <w:p w:rsidR="001008A9" w:rsidRDefault="001008A9" w:rsidP="00DD51D1">
      <w:pPr>
        <w:pStyle w:val="NormalWeb"/>
        <w:spacing w:before="0" w:beforeAutospacing="0" w:after="0" w:afterAutospacing="0" w:line="360" w:lineRule="auto"/>
        <w:ind w:right="77"/>
        <w:rPr>
          <w:rFonts w:ascii="Arial" w:hAnsi="Arial" w:cs="Arial"/>
          <w:b/>
          <w:bCs/>
          <w:sz w:val="20"/>
          <w:szCs w:val="20"/>
        </w:rPr>
      </w:pPr>
    </w:p>
    <w:p w:rsidR="001008A9" w:rsidRDefault="001008A9" w:rsidP="00DD51D1">
      <w:pPr>
        <w:pStyle w:val="NormalWeb"/>
        <w:spacing w:before="0" w:beforeAutospacing="0" w:after="0" w:afterAutospacing="0" w:line="360" w:lineRule="auto"/>
        <w:ind w:right="77"/>
        <w:rPr>
          <w:rFonts w:ascii="Arial" w:hAnsi="Arial" w:cs="Arial"/>
          <w:b/>
          <w:bCs/>
          <w:sz w:val="20"/>
          <w:szCs w:val="20"/>
        </w:rPr>
      </w:pPr>
    </w:p>
    <w:p w:rsidR="001008A9" w:rsidRDefault="001008A9" w:rsidP="00DD51D1">
      <w:pPr>
        <w:pStyle w:val="NormalWeb"/>
        <w:spacing w:before="0" w:beforeAutospacing="0" w:after="0" w:afterAutospacing="0" w:line="360" w:lineRule="auto"/>
        <w:ind w:right="77"/>
        <w:rPr>
          <w:rFonts w:ascii="Arial" w:hAnsi="Arial" w:cs="Arial"/>
          <w:b/>
          <w:bCs/>
          <w:sz w:val="20"/>
          <w:szCs w:val="20"/>
        </w:rPr>
      </w:pPr>
    </w:p>
    <w:p w:rsidR="001008A9" w:rsidRDefault="001008A9" w:rsidP="00DD51D1">
      <w:pPr>
        <w:pStyle w:val="NormalWeb"/>
        <w:spacing w:before="0" w:beforeAutospacing="0" w:after="0" w:afterAutospacing="0" w:line="360" w:lineRule="auto"/>
        <w:ind w:right="77"/>
        <w:rPr>
          <w:rFonts w:ascii="Arial" w:hAnsi="Arial" w:cs="Arial"/>
          <w:b/>
          <w:bCs/>
          <w:sz w:val="20"/>
          <w:szCs w:val="20"/>
        </w:rPr>
      </w:pPr>
    </w:p>
    <w:p w:rsidR="001008A9" w:rsidRDefault="001008A9" w:rsidP="00DD51D1">
      <w:pPr>
        <w:pStyle w:val="NormalWeb"/>
        <w:spacing w:before="0" w:beforeAutospacing="0" w:after="0" w:afterAutospacing="0" w:line="360" w:lineRule="auto"/>
        <w:ind w:right="77"/>
        <w:rPr>
          <w:rFonts w:ascii="Arial" w:hAnsi="Arial" w:cs="Arial"/>
          <w:b/>
          <w:bCs/>
          <w:sz w:val="20"/>
          <w:szCs w:val="20"/>
        </w:rPr>
      </w:pPr>
    </w:p>
    <w:p w:rsidR="001008A9" w:rsidRDefault="001008A9" w:rsidP="00DD51D1">
      <w:pPr>
        <w:pStyle w:val="NormalWeb"/>
        <w:spacing w:before="0" w:beforeAutospacing="0" w:after="0" w:afterAutospacing="0" w:line="360" w:lineRule="auto"/>
        <w:ind w:right="77"/>
        <w:rPr>
          <w:rFonts w:ascii="Arial" w:hAnsi="Arial" w:cs="Arial"/>
          <w:b/>
          <w:bCs/>
          <w:sz w:val="20"/>
          <w:szCs w:val="20"/>
        </w:rPr>
      </w:pPr>
    </w:p>
    <w:p w:rsidR="001008A9" w:rsidRDefault="001008A9" w:rsidP="00DD51D1">
      <w:pPr>
        <w:pStyle w:val="NormalWeb"/>
        <w:spacing w:before="0" w:beforeAutospacing="0" w:after="0" w:afterAutospacing="0" w:line="360" w:lineRule="auto"/>
        <w:ind w:right="77"/>
        <w:rPr>
          <w:rFonts w:ascii="Arial" w:hAnsi="Arial" w:cs="Arial"/>
          <w:b/>
          <w:bCs/>
          <w:sz w:val="20"/>
          <w:szCs w:val="20"/>
        </w:rPr>
      </w:pPr>
    </w:p>
    <w:p w:rsidR="001008A9" w:rsidRDefault="001008A9" w:rsidP="00DD51D1">
      <w:pPr>
        <w:pStyle w:val="NormalWeb"/>
        <w:spacing w:before="0" w:beforeAutospacing="0" w:after="0" w:afterAutospacing="0" w:line="360" w:lineRule="auto"/>
        <w:ind w:right="77"/>
        <w:rPr>
          <w:rFonts w:ascii="Arial" w:hAnsi="Arial" w:cs="Arial"/>
          <w:b/>
          <w:bCs/>
          <w:sz w:val="20"/>
          <w:szCs w:val="20"/>
        </w:rPr>
      </w:pPr>
    </w:p>
    <w:p w:rsidR="001008A9" w:rsidRDefault="001008A9" w:rsidP="00DD51D1">
      <w:pPr>
        <w:pStyle w:val="NormalWeb"/>
        <w:spacing w:before="0" w:beforeAutospacing="0" w:after="0" w:afterAutospacing="0" w:line="360" w:lineRule="auto"/>
        <w:ind w:right="77"/>
        <w:rPr>
          <w:rFonts w:ascii="Arial" w:hAnsi="Arial" w:cs="Arial"/>
          <w:b/>
          <w:bCs/>
          <w:sz w:val="20"/>
          <w:szCs w:val="20"/>
        </w:rPr>
      </w:pPr>
    </w:p>
    <w:p w:rsidR="001008A9" w:rsidRDefault="001008A9" w:rsidP="00DD51D1">
      <w:pPr>
        <w:pStyle w:val="NormalWeb"/>
        <w:spacing w:before="0" w:beforeAutospacing="0" w:after="0" w:afterAutospacing="0" w:line="360" w:lineRule="auto"/>
        <w:ind w:right="77"/>
        <w:rPr>
          <w:rFonts w:ascii="Arial" w:hAnsi="Arial" w:cs="Arial"/>
          <w:b/>
          <w:bCs/>
          <w:sz w:val="20"/>
          <w:szCs w:val="20"/>
        </w:rPr>
      </w:pPr>
    </w:p>
    <w:p w:rsidR="001008A9" w:rsidRDefault="001008A9" w:rsidP="00DD51D1">
      <w:pPr>
        <w:pStyle w:val="NormalWeb"/>
        <w:spacing w:before="0" w:beforeAutospacing="0" w:after="0" w:afterAutospacing="0" w:line="360" w:lineRule="auto"/>
        <w:ind w:right="77"/>
        <w:rPr>
          <w:rFonts w:ascii="Arial" w:hAnsi="Arial" w:cs="Arial"/>
          <w:b/>
          <w:bCs/>
          <w:sz w:val="20"/>
          <w:szCs w:val="20"/>
        </w:rPr>
      </w:pPr>
    </w:p>
    <w:p w:rsidR="001008A9" w:rsidRDefault="001008A9" w:rsidP="00DD51D1">
      <w:pPr>
        <w:pStyle w:val="NormalWeb"/>
        <w:spacing w:before="0" w:beforeAutospacing="0" w:after="0" w:afterAutospacing="0" w:line="360" w:lineRule="auto"/>
        <w:ind w:right="77"/>
        <w:rPr>
          <w:rFonts w:ascii="Arial" w:hAnsi="Arial" w:cs="Arial"/>
          <w:b/>
          <w:bCs/>
          <w:sz w:val="20"/>
          <w:szCs w:val="20"/>
        </w:rPr>
      </w:pPr>
    </w:p>
    <w:p w:rsidR="001008A9" w:rsidRDefault="001008A9" w:rsidP="00DD51D1">
      <w:pPr>
        <w:pStyle w:val="NormalWeb"/>
        <w:spacing w:before="0" w:beforeAutospacing="0" w:after="0" w:afterAutospacing="0" w:line="360" w:lineRule="auto"/>
        <w:ind w:right="77"/>
        <w:rPr>
          <w:rFonts w:ascii="Arial" w:hAnsi="Arial" w:cs="Arial"/>
          <w:b/>
          <w:bCs/>
          <w:sz w:val="20"/>
          <w:szCs w:val="20"/>
        </w:rPr>
      </w:pPr>
    </w:p>
    <w:p w:rsidR="001008A9" w:rsidRDefault="001008A9" w:rsidP="00DD51D1">
      <w:pPr>
        <w:pStyle w:val="NormalWeb"/>
        <w:spacing w:before="0" w:beforeAutospacing="0" w:after="0" w:afterAutospacing="0" w:line="360" w:lineRule="auto"/>
        <w:ind w:right="77"/>
        <w:rPr>
          <w:rFonts w:ascii="Arial" w:hAnsi="Arial" w:cs="Arial"/>
          <w:b/>
          <w:bCs/>
          <w:sz w:val="20"/>
          <w:szCs w:val="20"/>
        </w:rPr>
      </w:pPr>
    </w:p>
    <w:p w:rsidR="001008A9" w:rsidRDefault="001008A9" w:rsidP="00DD51D1">
      <w:pPr>
        <w:pStyle w:val="NormalWeb"/>
        <w:spacing w:before="0" w:beforeAutospacing="0" w:after="0" w:afterAutospacing="0" w:line="360" w:lineRule="auto"/>
        <w:ind w:right="77"/>
        <w:rPr>
          <w:rFonts w:ascii="Arial" w:hAnsi="Arial" w:cs="Arial"/>
          <w:b/>
          <w:bCs/>
          <w:sz w:val="20"/>
          <w:szCs w:val="20"/>
        </w:rPr>
      </w:pPr>
    </w:p>
    <w:p w:rsidR="001008A9" w:rsidRDefault="001008A9" w:rsidP="00DD51D1">
      <w:pPr>
        <w:pStyle w:val="NormalWeb"/>
        <w:spacing w:before="0" w:beforeAutospacing="0" w:after="0" w:afterAutospacing="0" w:line="360" w:lineRule="auto"/>
        <w:ind w:right="77"/>
        <w:rPr>
          <w:rFonts w:ascii="Arial" w:hAnsi="Arial" w:cs="Arial"/>
          <w:b/>
          <w:bCs/>
          <w:sz w:val="20"/>
          <w:szCs w:val="20"/>
        </w:rPr>
      </w:pPr>
    </w:p>
    <w:p w:rsidR="001008A9" w:rsidRDefault="001008A9" w:rsidP="00DD51D1">
      <w:pPr>
        <w:pStyle w:val="NormalWeb"/>
        <w:spacing w:before="0" w:beforeAutospacing="0" w:after="0" w:afterAutospacing="0" w:line="360" w:lineRule="auto"/>
        <w:ind w:right="77"/>
        <w:rPr>
          <w:rFonts w:ascii="Arial" w:hAnsi="Arial" w:cs="Arial"/>
          <w:b/>
          <w:bCs/>
          <w:sz w:val="20"/>
          <w:szCs w:val="20"/>
        </w:rPr>
      </w:pPr>
    </w:p>
    <w:p w:rsidR="001008A9" w:rsidRDefault="001008A9" w:rsidP="00DD51D1">
      <w:pPr>
        <w:pStyle w:val="NormalWeb"/>
        <w:spacing w:before="0" w:beforeAutospacing="0" w:after="0" w:afterAutospacing="0" w:line="360" w:lineRule="auto"/>
        <w:ind w:right="77"/>
        <w:rPr>
          <w:rFonts w:ascii="Arial" w:hAnsi="Arial" w:cs="Arial"/>
          <w:b/>
          <w:bCs/>
          <w:sz w:val="20"/>
          <w:szCs w:val="20"/>
        </w:rPr>
      </w:pPr>
    </w:p>
    <w:p w:rsidR="001008A9" w:rsidRDefault="001008A9" w:rsidP="00DD51D1">
      <w:pPr>
        <w:pStyle w:val="NormalWeb"/>
        <w:spacing w:before="0" w:beforeAutospacing="0" w:after="0" w:afterAutospacing="0" w:line="360" w:lineRule="auto"/>
        <w:ind w:right="77"/>
        <w:rPr>
          <w:rFonts w:ascii="Arial" w:hAnsi="Arial" w:cs="Arial"/>
          <w:b/>
          <w:bCs/>
          <w:sz w:val="20"/>
          <w:szCs w:val="20"/>
        </w:rPr>
      </w:pPr>
    </w:p>
    <w:p w:rsidR="001008A9" w:rsidRDefault="001008A9" w:rsidP="00DD51D1">
      <w:pPr>
        <w:pStyle w:val="NormalWeb"/>
        <w:spacing w:before="0" w:beforeAutospacing="0" w:after="0" w:afterAutospacing="0" w:line="360" w:lineRule="auto"/>
        <w:ind w:right="77"/>
        <w:rPr>
          <w:rFonts w:ascii="Arial" w:hAnsi="Arial" w:cs="Arial"/>
          <w:b/>
          <w:bCs/>
          <w:sz w:val="20"/>
          <w:szCs w:val="20"/>
        </w:rPr>
      </w:pPr>
    </w:p>
    <w:p w:rsidR="001008A9" w:rsidRDefault="001008A9" w:rsidP="00DD51D1">
      <w:pPr>
        <w:pStyle w:val="NormalWeb"/>
        <w:spacing w:before="0" w:beforeAutospacing="0" w:after="0" w:afterAutospacing="0" w:line="360" w:lineRule="auto"/>
        <w:ind w:right="77"/>
        <w:rPr>
          <w:rFonts w:ascii="Arial" w:hAnsi="Arial" w:cs="Arial"/>
          <w:b/>
          <w:bCs/>
          <w:sz w:val="20"/>
          <w:szCs w:val="20"/>
        </w:rPr>
      </w:pPr>
    </w:p>
    <w:p w:rsidR="001008A9" w:rsidRDefault="001008A9" w:rsidP="00DD51D1">
      <w:pPr>
        <w:pStyle w:val="NormalWeb"/>
        <w:spacing w:before="0" w:beforeAutospacing="0" w:after="0" w:afterAutospacing="0" w:line="360" w:lineRule="auto"/>
        <w:ind w:right="77"/>
        <w:rPr>
          <w:rFonts w:ascii="Arial" w:hAnsi="Arial" w:cs="Arial"/>
          <w:b/>
          <w:bCs/>
          <w:sz w:val="20"/>
          <w:szCs w:val="20"/>
        </w:rPr>
      </w:pPr>
    </w:p>
    <w:p w:rsidR="001008A9" w:rsidRDefault="001008A9" w:rsidP="00DD51D1">
      <w:pPr>
        <w:pStyle w:val="NormalWeb"/>
        <w:spacing w:before="0" w:beforeAutospacing="0" w:after="0" w:afterAutospacing="0" w:line="360" w:lineRule="auto"/>
        <w:ind w:right="77"/>
        <w:rPr>
          <w:rFonts w:ascii="Arial" w:hAnsi="Arial" w:cs="Arial"/>
          <w:b/>
          <w:bCs/>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Pr="00F13CED" w:rsidRDefault="001008A9" w:rsidP="00530B03">
      <w:pPr>
        <w:pStyle w:val="NormalWeb"/>
        <w:spacing w:before="0" w:beforeAutospacing="0" w:after="0" w:afterAutospacing="0"/>
        <w:ind w:right="77"/>
        <w:rPr>
          <w:sz w:val="22"/>
          <w:szCs w:val="22"/>
        </w:rPr>
      </w:pPr>
      <w:r>
        <w:rPr>
          <w:b/>
          <w:bCs/>
          <w:sz w:val="22"/>
          <w:szCs w:val="22"/>
        </w:rPr>
        <w:lastRenderedPageBreak/>
        <w:t>Ek 1</w:t>
      </w:r>
      <w:r w:rsidRPr="00E06534">
        <w:rPr>
          <w:b/>
          <w:bCs/>
          <w:sz w:val="22"/>
          <w:szCs w:val="22"/>
        </w:rPr>
        <w:t>:</w:t>
      </w:r>
      <w:r w:rsidRPr="00F13CED">
        <w:rPr>
          <w:sz w:val="22"/>
          <w:szCs w:val="22"/>
        </w:rPr>
        <w:t xml:space="preserve">  </w:t>
      </w:r>
      <w:r w:rsidRPr="00E06534">
        <w:rPr>
          <w:b/>
          <w:bCs/>
          <w:sz w:val="22"/>
          <w:szCs w:val="22"/>
        </w:rPr>
        <w:t>GSYH değişimi ve alt kalemlerin büyümeye katkılarının hesaplanması:</w:t>
      </w:r>
    </w:p>
    <w:p w:rsidR="001008A9" w:rsidRDefault="001008A9" w:rsidP="00530B03">
      <w:pPr>
        <w:pStyle w:val="NormalWeb"/>
        <w:spacing w:before="0" w:beforeAutospacing="0" w:after="0" w:afterAutospacing="0"/>
        <w:ind w:right="77"/>
        <w:jc w:val="both"/>
        <w:rPr>
          <w:sz w:val="22"/>
          <w:szCs w:val="22"/>
        </w:rPr>
      </w:pPr>
      <w:r>
        <w:rPr>
          <w:sz w:val="22"/>
          <w:szCs w:val="22"/>
        </w:rPr>
        <w:t>Alt kalemler 3 grup altında toplanmıştı</w:t>
      </w:r>
      <w:r w:rsidRPr="00F13CED">
        <w:rPr>
          <w:sz w:val="22"/>
          <w:szCs w:val="22"/>
        </w:rPr>
        <w:t>r :</w:t>
      </w:r>
    </w:p>
    <w:p w:rsidR="001008A9" w:rsidRPr="008D711C" w:rsidRDefault="001008A9" w:rsidP="00530B03">
      <w:pPr>
        <w:pStyle w:val="NormalWeb"/>
        <w:spacing w:before="0" w:beforeAutospacing="0" w:after="0" w:afterAutospacing="0"/>
        <w:ind w:right="77"/>
        <w:jc w:val="both"/>
        <w:rPr>
          <w:sz w:val="10"/>
          <w:szCs w:val="10"/>
        </w:rPr>
      </w:pPr>
    </w:p>
    <w:p w:rsidR="001008A9" w:rsidRDefault="001008A9" w:rsidP="00530B03">
      <w:pPr>
        <w:pStyle w:val="NormalWeb"/>
        <w:numPr>
          <w:ilvl w:val="0"/>
          <w:numId w:val="4"/>
        </w:numPr>
        <w:tabs>
          <w:tab w:val="clear" w:pos="720"/>
          <w:tab w:val="num" w:pos="360"/>
        </w:tabs>
        <w:spacing w:before="0" w:beforeAutospacing="0" w:after="0" w:afterAutospacing="0"/>
        <w:ind w:left="360" w:right="77" w:hanging="180"/>
        <w:jc w:val="both"/>
        <w:rPr>
          <w:sz w:val="22"/>
          <w:szCs w:val="22"/>
        </w:rPr>
      </w:pPr>
      <w:r>
        <w:rPr>
          <w:sz w:val="22"/>
          <w:szCs w:val="22"/>
        </w:rPr>
        <w:t>Nihai iç talep, yerleşik hanehalklarını</w:t>
      </w:r>
      <w:r w:rsidRPr="00F13CED">
        <w:rPr>
          <w:sz w:val="22"/>
          <w:szCs w:val="22"/>
        </w:rPr>
        <w:t>n tüketimi (tüketim), de</w:t>
      </w:r>
      <w:r>
        <w:rPr>
          <w:sz w:val="22"/>
          <w:szCs w:val="22"/>
        </w:rPr>
        <w:t>vletin nihai tüketim harcamaları ve yatırım harcamaları toplamı (kamu harcamaları), özel sektörün yatırı</w:t>
      </w:r>
      <w:r w:rsidRPr="00F13CED">
        <w:rPr>
          <w:sz w:val="22"/>
          <w:szCs w:val="22"/>
        </w:rPr>
        <w:t>m harcamalar (yat</w:t>
      </w:r>
      <w:r>
        <w:rPr>
          <w:sz w:val="22"/>
          <w:szCs w:val="22"/>
        </w:rPr>
        <w:t>ırım) oluşmaktadı</w:t>
      </w:r>
      <w:r w:rsidRPr="00F13CED">
        <w:rPr>
          <w:sz w:val="22"/>
          <w:szCs w:val="22"/>
        </w:rPr>
        <w:t>r.</w:t>
      </w:r>
    </w:p>
    <w:p w:rsidR="001008A9" w:rsidRPr="008D711C" w:rsidRDefault="001008A9" w:rsidP="00530B03">
      <w:pPr>
        <w:pStyle w:val="NormalWeb"/>
        <w:spacing w:before="0" w:beforeAutospacing="0" w:after="0" w:afterAutospacing="0"/>
        <w:ind w:left="180" w:right="77"/>
        <w:jc w:val="both"/>
        <w:rPr>
          <w:sz w:val="10"/>
          <w:szCs w:val="10"/>
        </w:rPr>
      </w:pPr>
    </w:p>
    <w:p w:rsidR="001008A9" w:rsidRDefault="001008A9" w:rsidP="00530B03">
      <w:pPr>
        <w:pStyle w:val="NormalWeb"/>
        <w:numPr>
          <w:ilvl w:val="0"/>
          <w:numId w:val="4"/>
        </w:numPr>
        <w:tabs>
          <w:tab w:val="clear" w:pos="720"/>
          <w:tab w:val="num" w:pos="360"/>
        </w:tabs>
        <w:spacing w:before="0" w:beforeAutospacing="0" w:after="0" w:afterAutospacing="0"/>
        <w:ind w:left="360" w:right="77" w:hanging="180"/>
        <w:jc w:val="both"/>
        <w:rPr>
          <w:sz w:val="22"/>
          <w:szCs w:val="22"/>
        </w:rPr>
      </w:pPr>
      <w:r>
        <w:rPr>
          <w:sz w:val="22"/>
          <w:szCs w:val="22"/>
        </w:rPr>
        <w:t>Net dış talepteki değiş</w:t>
      </w:r>
      <w:r w:rsidRPr="00F13CED">
        <w:rPr>
          <w:sz w:val="22"/>
          <w:szCs w:val="22"/>
        </w:rPr>
        <w:t>im, ihrac</w:t>
      </w:r>
      <w:r>
        <w:rPr>
          <w:sz w:val="22"/>
          <w:szCs w:val="22"/>
        </w:rPr>
        <w:t>at ve ithalat kalemleri arasındaki farkı</w:t>
      </w:r>
      <w:r w:rsidRPr="00F13CED">
        <w:rPr>
          <w:sz w:val="22"/>
          <w:szCs w:val="22"/>
        </w:rPr>
        <w:t xml:space="preserve"> göstermektedir.</w:t>
      </w:r>
    </w:p>
    <w:p w:rsidR="001008A9" w:rsidRPr="008D711C" w:rsidRDefault="001008A9" w:rsidP="00530B03">
      <w:pPr>
        <w:pStyle w:val="NormalWeb"/>
        <w:spacing w:before="0" w:beforeAutospacing="0" w:after="0" w:afterAutospacing="0"/>
        <w:ind w:right="77"/>
        <w:jc w:val="both"/>
        <w:rPr>
          <w:sz w:val="10"/>
          <w:szCs w:val="10"/>
        </w:rPr>
      </w:pPr>
    </w:p>
    <w:p w:rsidR="001008A9" w:rsidRPr="00F13CED" w:rsidRDefault="001008A9" w:rsidP="00530B03">
      <w:pPr>
        <w:pStyle w:val="NormalWeb"/>
        <w:numPr>
          <w:ilvl w:val="0"/>
          <w:numId w:val="4"/>
        </w:numPr>
        <w:tabs>
          <w:tab w:val="clear" w:pos="720"/>
          <w:tab w:val="num" w:pos="360"/>
        </w:tabs>
        <w:spacing w:before="0" w:beforeAutospacing="0" w:after="0" w:afterAutospacing="0"/>
        <w:ind w:left="360" w:right="77" w:hanging="180"/>
        <w:jc w:val="both"/>
        <w:rPr>
          <w:sz w:val="22"/>
          <w:szCs w:val="22"/>
        </w:rPr>
      </w:pPr>
      <w:r>
        <w:rPr>
          <w:sz w:val="22"/>
          <w:szCs w:val="22"/>
        </w:rPr>
        <w:t>Stok değişimi kalemi ise, stokların bir önceki döneme göre nasıl değiştiğini göstermektedir (Ayrıntı</w:t>
      </w:r>
      <w:r w:rsidRPr="00F13CED">
        <w:rPr>
          <w:sz w:val="22"/>
          <w:szCs w:val="22"/>
        </w:rPr>
        <w:t>lar için bkz Ek-2.)</w:t>
      </w:r>
    </w:p>
    <w:p w:rsidR="001008A9" w:rsidRPr="00F13CED" w:rsidRDefault="001008A9" w:rsidP="00530B03">
      <w:pPr>
        <w:pStyle w:val="NormalWeb"/>
        <w:spacing w:before="0" w:beforeAutospacing="0" w:after="0" w:afterAutospacing="0"/>
        <w:ind w:right="77"/>
        <w:rPr>
          <w:sz w:val="22"/>
          <w:szCs w:val="22"/>
        </w:rPr>
      </w:pPr>
    </w:p>
    <w:p w:rsidR="001008A9" w:rsidRPr="00F13CED" w:rsidRDefault="001008A9" w:rsidP="00530B03">
      <w:pPr>
        <w:pStyle w:val="NormalWeb"/>
        <w:spacing w:before="0" w:beforeAutospacing="0" w:after="0" w:afterAutospacing="0"/>
        <w:ind w:right="77"/>
        <w:jc w:val="both"/>
        <w:rPr>
          <w:sz w:val="22"/>
          <w:szCs w:val="22"/>
        </w:rPr>
      </w:pPr>
      <w:r>
        <w:rPr>
          <w:sz w:val="22"/>
          <w:szCs w:val="22"/>
        </w:rPr>
        <w:t>GSYH'daki yüzde değişimi bulmak iç</w:t>
      </w:r>
      <w:r w:rsidRPr="00F13CED">
        <w:rPr>
          <w:sz w:val="22"/>
          <w:szCs w:val="22"/>
        </w:rPr>
        <w:t>in, her bir alt bi</w:t>
      </w:r>
      <w:r>
        <w:rPr>
          <w:sz w:val="22"/>
          <w:szCs w:val="22"/>
        </w:rPr>
        <w:t>leşenin önceki döneme göre değiş</w:t>
      </w:r>
      <w:r w:rsidRPr="00F13CED">
        <w:rPr>
          <w:sz w:val="22"/>
          <w:szCs w:val="22"/>
        </w:rPr>
        <w:t xml:space="preserve">imi, bir önceki </w:t>
      </w:r>
      <w:r>
        <w:rPr>
          <w:sz w:val="22"/>
          <w:szCs w:val="22"/>
        </w:rPr>
        <w:t>döneme ait GSYH rakamı</w:t>
      </w:r>
      <w:r w:rsidRPr="00F13CED">
        <w:rPr>
          <w:sz w:val="22"/>
          <w:szCs w:val="22"/>
        </w:rPr>
        <w:t xml:space="preserve">na (GSYH </w:t>
      </w:r>
      <w:r w:rsidRPr="00F13CED">
        <w:rPr>
          <w:i/>
          <w:iCs/>
          <w:sz w:val="22"/>
          <w:szCs w:val="22"/>
          <w:vertAlign w:val="subscript"/>
        </w:rPr>
        <w:t xml:space="preserve">t </w:t>
      </w:r>
      <w:r w:rsidRPr="00F13CED">
        <w:rPr>
          <w:sz w:val="22"/>
          <w:szCs w:val="22"/>
          <w:vertAlign w:val="subscript"/>
        </w:rPr>
        <w:t>-1</w:t>
      </w:r>
      <w:r>
        <w:rPr>
          <w:sz w:val="22"/>
          <w:szCs w:val="22"/>
        </w:rPr>
        <w:t>) oranlanmış ve böylece her bir bileş</w:t>
      </w:r>
      <w:r w:rsidRPr="00F13CED">
        <w:rPr>
          <w:sz w:val="22"/>
          <w:szCs w:val="22"/>
        </w:rPr>
        <w:t>enin o GSYH büyüme</w:t>
      </w:r>
      <w:r>
        <w:rPr>
          <w:sz w:val="22"/>
          <w:szCs w:val="22"/>
        </w:rPr>
        <w:t>sine olan katkısı bulunmuş</w:t>
      </w:r>
      <w:r w:rsidRPr="00F13CED">
        <w:rPr>
          <w:sz w:val="22"/>
          <w:szCs w:val="22"/>
        </w:rPr>
        <w:t>tur.</w:t>
      </w:r>
    </w:p>
    <w:p w:rsidR="001008A9" w:rsidRDefault="001008A9" w:rsidP="00530B03">
      <w:pPr>
        <w:pStyle w:val="NormalWeb"/>
        <w:spacing w:before="0" w:beforeAutospacing="0" w:after="0" w:afterAutospacing="0"/>
        <w:ind w:right="77"/>
        <w:rPr>
          <w:sz w:val="22"/>
          <w:szCs w:val="22"/>
        </w:rPr>
      </w:pPr>
    </w:p>
    <w:p w:rsidR="001008A9" w:rsidRPr="00F13CED" w:rsidRDefault="001008A9" w:rsidP="00530B03">
      <w:pPr>
        <w:pStyle w:val="NormalWeb"/>
        <w:spacing w:before="0" w:beforeAutospacing="0" w:after="0" w:afterAutospacing="0"/>
        <w:ind w:right="77"/>
        <w:rPr>
          <w:sz w:val="22"/>
          <w:szCs w:val="22"/>
        </w:rPr>
      </w:pPr>
      <w:r>
        <w:rPr>
          <w:sz w:val="22"/>
          <w:szCs w:val="22"/>
        </w:rPr>
        <w:t>Baş</w:t>
      </w:r>
      <w:r w:rsidRPr="00F13CED">
        <w:rPr>
          <w:sz w:val="22"/>
          <w:szCs w:val="22"/>
        </w:rPr>
        <w:t>ka bir ifadeyle,</w:t>
      </w:r>
    </w:p>
    <w:p w:rsidR="001008A9" w:rsidRPr="00F13CED" w:rsidRDefault="001008A9" w:rsidP="00530B03">
      <w:pPr>
        <w:pStyle w:val="NormalWeb"/>
        <w:spacing w:before="0" w:beforeAutospacing="0" w:after="0" w:afterAutospacing="0"/>
        <w:ind w:right="77"/>
        <w:rPr>
          <w:sz w:val="22"/>
          <w:szCs w:val="22"/>
        </w:rPr>
      </w:pPr>
      <w:r w:rsidRPr="00F13CED">
        <w:rPr>
          <w:sz w:val="22"/>
          <w:szCs w:val="22"/>
        </w:rPr>
        <w:t>X</w:t>
      </w:r>
      <w:r>
        <w:rPr>
          <w:sz w:val="22"/>
          <w:szCs w:val="22"/>
        </w:rPr>
        <w:t xml:space="preserve"> </w:t>
      </w:r>
      <w:r w:rsidRPr="00F13CED">
        <w:rPr>
          <w:sz w:val="22"/>
          <w:szCs w:val="22"/>
        </w:rPr>
        <w:t>: GSYH alt kalemi</w:t>
      </w:r>
    </w:p>
    <w:p w:rsidR="001008A9" w:rsidRPr="00F13CED" w:rsidRDefault="001008A9" w:rsidP="00530B03">
      <w:pPr>
        <w:pStyle w:val="NormalWeb"/>
        <w:spacing w:before="0" w:beforeAutospacing="0" w:after="0" w:afterAutospacing="0"/>
        <w:ind w:right="77"/>
        <w:rPr>
          <w:sz w:val="22"/>
          <w:szCs w:val="22"/>
        </w:rPr>
      </w:pPr>
      <w:r>
        <w:rPr>
          <w:sz w:val="22"/>
          <w:szCs w:val="22"/>
        </w:rPr>
        <w:t>X'in değ</w:t>
      </w:r>
      <w:r w:rsidRPr="00F13CED">
        <w:rPr>
          <w:sz w:val="22"/>
          <w:szCs w:val="22"/>
        </w:rPr>
        <w:t>i</w:t>
      </w:r>
      <w:r>
        <w:rPr>
          <w:sz w:val="22"/>
          <w:szCs w:val="22"/>
        </w:rPr>
        <w:t>şimin t zamandaki büyümeye katkısı</w:t>
      </w:r>
      <w:r w:rsidRPr="00F13CED">
        <w:rPr>
          <w:sz w:val="22"/>
          <w:szCs w:val="22"/>
        </w:rPr>
        <w:t xml:space="preserve"> </w:t>
      </w:r>
      <w:r>
        <w:rPr>
          <w:sz w:val="22"/>
          <w:szCs w:val="22"/>
        </w:rPr>
        <w:t>:</w:t>
      </w:r>
    </w:p>
    <w:p w:rsidR="001008A9" w:rsidRPr="00F13CED" w:rsidRDefault="001008A9" w:rsidP="00530B03">
      <w:pPr>
        <w:pStyle w:val="NormalWeb"/>
        <w:spacing w:before="0" w:beforeAutospacing="0" w:after="0" w:afterAutospacing="0"/>
        <w:ind w:right="77"/>
        <w:rPr>
          <w:sz w:val="22"/>
          <w:szCs w:val="22"/>
        </w:rPr>
      </w:pPr>
      <w:r>
        <w:rPr>
          <w:sz w:val="22"/>
          <w:szCs w:val="22"/>
        </w:rPr>
        <w:t xml:space="preserve">     = (X</w:t>
      </w:r>
      <w:r w:rsidRPr="00A76BDF">
        <w:rPr>
          <w:i/>
          <w:iCs/>
          <w:sz w:val="22"/>
          <w:szCs w:val="22"/>
          <w:vertAlign w:val="subscript"/>
        </w:rPr>
        <w:t>t</w:t>
      </w:r>
      <w:r w:rsidRPr="00A76BDF">
        <w:rPr>
          <w:sz w:val="22"/>
          <w:szCs w:val="22"/>
          <w:vertAlign w:val="subscript"/>
        </w:rPr>
        <w:t xml:space="preserve"> </w:t>
      </w:r>
      <w:r w:rsidRPr="00F13CED">
        <w:rPr>
          <w:sz w:val="22"/>
          <w:szCs w:val="22"/>
        </w:rPr>
        <w:t>– X</w:t>
      </w:r>
      <w:r w:rsidRPr="00A76BDF">
        <w:rPr>
          <w:i/>
          <w:iCs/>
          <w:sz w:val="22"/>
          <w:szCs w:val="22"/>
          <w:vertAlign w:val="subscript"/>
        </w:rPr>
        <w:t>t</w:t>
      </w:r>
      <w:r w:rsidRPr="00A76BDF">
        <w:rPr>
          <w:sz w:val="22"/>
          <w:szCs w:val="22"/>
          <w:vertAlign w:val="subscript"/>
        </w:rPr>
        <w:t>-1</w:t>
      </w:r>
      <w:r w:rsidRPr="00F13CED">
        <w:rPr>
          <w:sz w:val="22"/>
          <w:szCs w:val="22"/>
        </w:rPr>
        <w:t>) / GSYH</w:t>
      </w:r>
      <w:r w:rsidRPr="00A76BDF">
        <w:rPr>
          <w:i/>
          <w:iCs/>
          <w:sz w:val="22"/>
          <w:szCs w:val="22"/>
          <w:vertAlign w:val="subscript"/>
        </w:rPr>
        <w:t>t</w:t>
      </w:r>
      <w:r w:rsidRPr="00A76BDF">
        <w:rPr>
          <w:sz w:val="22"/>
          <w:szCs w:val="22"/>
          <w:vertAlign w:val="subscript"/>
        </w:rPr>
        <w:t>-1</w:t>
      </w:r>
    </w:p>
    <w:p w:rsidR="001008A9" w:rsidRPr="00F13CED" w:rsidRDefault="001008A9" w:rsidP="00530B03">
      <w:pPr>
        <w:pStyle w:val="NormalWeb"/>
        <w:spacing w:before="0" w:beforeAutospacing="0" w:after="0" w:afterAutospacing="0"/>
        <w:ind w:right="77"/>
        <w:rPr>
          <w:sz w:val="22"/>
          <w:szCs w:val="22"/>
        </w:rPr>
      </w:pPr>
      <w:r w:rsidRPr="00F13CED">
        <w:rPr>
          <w:sz w:val="22"/>
          <w:szCs w:val="22"/>
        </w:rPr>
        <w:t>formülünü kullanarak hesaplanabilir.</w:t>
      </w:r>
    </w:p>
    <w:p w:rsidR="001008A9" w:rsidRDefault="001008A9" w:rsidP="00530B03">
      <w:pPr>
        <w:ind w:right="77"/>
        <w:jc w:val="both"/>
      </w:pPr>
    </w:p>
    <w:p w:rsidR="001008A9" w:rsidRPr="00E172B6" w:rsidRDefault="001008A9" w:rsidP="00530B03">
      <w:pPr>
        <w:ind w:right="77"/>
        <w:jc w:val="both"/>
        <w:rPr>
          <w:b/>
          <w:bCs/>
          <w:sz w:val="22"/>
          <w:szCs w:val="22"/>
        </w:rPr>
      </w:pPr>
      <w:r w:rsidRPr="00E172B6">
        <w:rPr>
          <w:b/>
          <w:bCs/>
          <w:sz w:val="22"/>
          <w:szCs w:val="22"/>
        </w:rPr>
        <w:t>TÜİK</w:t>
      </w:r>
      <w:r>
        <w:rPr>
          <w:b/>
          <w:bCs/>
          <w:sz w:val="22"/>
          <w:szCs w:val="22"/>
        </w:rPr>
        <w:t xml:space="preserve"> </w:t>
      </w:r>
      <w:r w:rsidRPr="00E172B6">
        <w:rPr>
          <w:b/>
          <w:bCs/>
          <w:sz w:val="22"/>
          <w:szCs w:val="22"/>
        </w:rPr>
        <w:t>ve BETAM’ın yöntemleri arasındaki fark</w:t>
      </w:r>
    </w:p>
    <w:p w:rsidR="001008A9" w:rsidRDefault="001008A9" w:rsidP="00530B03">
      <w:pPr>
        <w:ind w:right="77"/>
        <w:jc w:val="both"/>
      </w:pPr>
      <w:r>
        <w:t>TÜİK, GSYH serisini mevsim ve takvim etkisinden arındırmak için alt kalemleri tek tek almak yerine, bunların toplamını kullanmaktadır. Ancak GSYH’yı oluşturan her bir alt kalemin farklı mevsimsel döngüleri olabileceği göz önüne alındığında, her bir alt kalemi ayrı ayrı ele alıp, mevsim ve takvim etkilerinden arındırmak ve bunların toplamını mevsim ve takvim etkisinden arındırılmış GSYH serisi olarak almak daha sağlıklıdır. Bu iki yöntem farklı sonuçlar verse de, ilgili literatürde her iki yöntem de kabul görmekte ve yaygın olarak kullanılmaktadır.</w:t>
      </w:r>
    </w:p>
    <w:p w:rsidR="001008A9" w:rsidRDefault="001008A9" w:rsidP="00530B03">
      <w:pPr>
        <w:ind w:right="77"/>
        <w:jc w:val="both"/>
      </w:pPr>
    </w:p>
    <w:p w:rsidR="001008A9" w:rsidRDefault="001008A9" w:rsidP="00530B03">
      <w:pPr>
        <w:spacing w:line="288" w:lineRule="auto"/>
        <w:ind w:right="77"/>
        <w:jc w:val="both"/>
      </w:pPr>
    </w:p>
    <w:p w:rsidR="001008A9" w:rsidRDefault="001008A9" w:rsidP="00530B03">
      <w:pPr>
        <w:spacing w:line="288" w:lineRule="auto"/>
        <w:ind w:right="77"/>
        <w:jc w:val="both"/>
      </w:pPr>
    </w:p>
    <w:p w:rsidR="001008A9" w:rsidRDefault="001008A9" w:rsidP="00530B03">
      <w:pPr>
        <w:spacing w:line="288" w:lineRule="auto"/>
        <w:ind w:right="77"/>
        <w:jc w:val="both"/>
      </w:pPr>
    </w:p>
    <w:p w:rsidR="001008A9" w:rsidRDefault="001008A9" w:rsidP="00530B03">
      <w:pPr>
        <w:spacing w:line="288" w:lineRule="auto"/>
        <w:ind w:right="77"/>
        <w:jc w:val="both"/>
      </w:pPr>
    </w:p>
    <w:p w:rsidR="001008A9" w:rsidRDefault="001008A9" w:rsidP="00530B03">
      <w:pPr>
        <w:spacing w:line="288" w:lineRule="auto"/>
        <w:ind w:right="77"/>
        <w:jc w:val="both"/>
      </w:pPr>
    </w:p>
    <w:p w:rsidR="001008A9" w:rsidRDefault="001008A9" w:rsidP="00530B03">
      <w:pPr>
        <w:spacing w:line="288" w:lineRule="auto"/>
        <w:ind w:right="77"/>
        <w:jc w:val="both"/>
      </w:pPr>
    </w:p>
    <w:p w:rsidR="001008A9" w:rsidRDefault="001008A9" w:rsidP="00530B03">
      <w:pPr>
        <w:spacing w:line="288" w:lineRule="auto"/>
        <w:ind w:right="77"/>
        <w:jc w:val="both"/>
      </w:pPr>
    </w:p>
    <w:p w:rsidR="001008A9" w:rsidRDefault="001008A9" w:rsidP="00530B03">
      <w:pPr>
        <w:spacing w:line="288" w:lineRule="auto"/>
        <w:ind w:right="77"/>
        <w:jc w:val="both"/>
      </w:pPr>
    </w:p>
    <w:p w:rsidR="001008A9" w:rsidRDefault="001008A9" w:rsidP="00530B03">
      <w:pPr>
        <w:ind w:right="77"/>
        <w:jc w:val="both"/>
        <w:rPr>
          <w:b/>
          <w:bCs/>
          <w:sz w:val="22"/>
          <w:szCs w:val="22"/>
        </w:rPr>
      </w:pPr>
    </w:p>
    <w:p w:rsidR="001008A9" w:rsidRPr="00B75A4B" w:rsidRDefault="001008A9" w:rsidP="00530B03">
      <w:pPr>
        <w:ind w:right="77"/>
        <w:jc w:val="both"/>
        <w:rPr>
          <w:rFonts w:ascii="Arial" w:hAnsi="Arial" w:cs="Arial"/>
          <w:b/>
          <w:bCs/>
          <w:sz w:val="22"/>
          <w:szCs w:val="22"/>
        </w:rPr>
      </w:pPr>
      <w:r w:rsidRPr="00B75A4B">
        <w:rPr>
          <w:b/>
          <w:bCs/>
          <w:sz w:val="22"/>
          <w:szCs w:val="22"/>
        </w:rPr>
        <w:lastRenderedPageBreak/>
        <w:t>Ek</w:t>
      </w:r>
      <w:r>
        <w:rPr>
          <w:b/>
          <w:bCs/>
          <w:sz w:val="22"/>
          <w:szCs w:val="22"/>
        </w:rPr>
        <w:t xml:space="preserve"> 2</w:t>
      </w:r>
      <w:r w:rsidRPr="00B75A4B">
        <w:rPr>
          <w:b/>
          <w:bCs/>
          <w:sz w:val="22"/>
          <w:szCs w:val="22"/>
        </w:rPr>
        <w:t>: Stok değişimi kaleminin ve büyümeye katkısının hesaplanması</w:t>
      </w:r>
    </w:p>
    <w:p w:rsidR="001008A9" w:rsidRPr="00B75A4B" w:rsidRDefault="001008A9" w:rsidP="00530B03">
      <w:pPr>
        <w:ind w:right="77"/>
        <w:jc w:val="both"/>
        <w:rPr>
          <w:rFonts w:ascii="Arial" w:hAnsi="Arial" w:cs="Arial"/>
          <w:sz w:val="22"/>
          <w:szCs w:val="22"/>
        </w:rPr>
      </w:pPr>
      <w:r w:rsidRPr="00B75A4B">
        <w:rPr>
          <w:sz w:val="22"/>
          <w:szCs w:val="22"/>
        </w:rPr>
        <w:t>'Stok değişimi' kalemi, GSYH'nin harcamalar yöntemiyle hesaplanan bölümünde yer alır ve stokların bir önceki döneme göre nasıl değiştiğini gösterir.</w:t>
      </w:r>
    </w:p>
    <w:p w:rsidR="001008A9" w:rsidRPr="00E416B0" w:rsidRDefault="001008A9" w:rsidP="00530B03">
      <w:pPr>
        <w:ind w:left="-360" w:right="77"/>
        <w:jc w:val="both"/>
        <w:rPr>
          <w:sz w:val="10"/>
          <w:szCs w:val="10"/>
        </w:rPr>
      </w:pPr>
    </w:p>
    <w:p w:rsidR="001008A9" w:rsidRPr="00B75A4B" w:rsidRDefault="001008A9" w:rsidP="00530B03">
      <w:pPr>
        <w:ind w:right="77"/>
        <w:jc w:val="both"/>
        <w:rPr>
          <w:sz w:val="22"/>
          <w:szCs w:val="22"/>
          <w:vertAlign w:val="subscript"/>
        </w:rPr>
      </w:pPr>
      <w:r w:rsidRPr="00B75A4B">
        <w:rPr>
          <w:sz w:val="22"/>
          <w:szCs w:val="22"/>
        </w:rPr>
        <w:t xml:space="preserve">Stok değişimi </w:t>
      </w:r>
      <w:r w:rsidRPr="00B75A4B">
        <w:rPr>
          <w:i/>
          <w:iCs/>
          <w:sz w:val="22"/>
          <w:szCs w:val="22"/>
          <w:vertAlign w:val="subscript"/>
        </w:rPr>
        <w:t>t</w:t>
      </w:r>
      <w:r w:rsidRPr="00B75A4B">
        <w:rPr>
          <w:sz w:val="22"/>
          <w:szCs w:val="22"/>
        </w:rPr>
        <w:t xml:space="preserve"> = Stok </w:t>
      </w:r>
      <w:r w:rsidRPr="00B75A4B">
        <w:rPr>
          <w:i/>
          <w:iCs/>
          <w:sz w:val="22"/>
          <w:szCs w:val="22"/>
          <w:vertAlign w:val="subscript"/>
        </w:rPr>
        <w:t>t</w:t>
      </w:r>
      <w:r w:rsidRPr="00B75A4B">
        <w:rPr>
          <w:sz w:val="22"/>
          <w:szCs w:val="22"/>
          <w:vertAlign w:val="subscript"/>
        </w:rPr>
        <w:t xml:space="preserve"> </w:t>
      </w:r>
      <w:r w:rsidRPr="00B75A4B">
        <w:rPr>
          <w:sz w:val="22"/>
          <w:szCs w:val="22"/>
        </w:rPr>
        <w:t xml:space="preserve">– Stok </w:t>
      </w:r>
      <w:r w:rsidRPr="00B75A4B">
        <w:rPr>
          <w:i/>
          <w:iCs/>
          <w:sz w:val="22"/>
          <w:szCs w:val="22"/>
          <w:vertAlign w:val="subscript"/>
        </w:rPr>
        <w:t>t</w:t>
      </w:r>
      <w:r w:rsidRPr="00B75A4B">
        <w:rPr>
          <w:sz w:val="22"/>
          <w:szCs w:val="22"/>
          <w:vertAlign w:val="subscript"/>
        </w:rPr>
        <w:t>-1</w:t>
      </w:r>
    </w:p>
    <w:p w:rsidR="001008A9" w:rsidRPr="008517F6" w:rsidRDefault="001008A9" w:rsidP="00530B03">
      <w:pPr>
        <w:ind w:right="77"/>
        <w:jc w:val="both"/>
        <w:rPr>
          <w:rFonts w:ascii="Arial" w:hAnsi="Arial" w:cs="Arial"/>
          <w:sz w:val="10"/>
          <w:szCs w:val="10"/>
        </w:rPr>
      </w:pPr>
    </w:p>
    <w:p w:rsidR="001008A9" w:rsidRPr="00B75A4B" w:rsidRDefault="001008A9" w:rsidP="00530B03">
      <w:pPr>
        <w:pStyle w:val="NormalWeb"/>
        <w:spacing w:before="0" w:beforeAutospacing="0" w:after="0" w:afterAutospacing="0"/>
        <w:ind w:right="77"/>
        <w:jc w:val="both"/>
        <w:rPr>
          <w:sz w:val="22"/>
          <w:szCs w:val="22"/>
        </w:rPr>
      </w:pPr>
      <w:r w:rsidRPr="00B75A4B">
        <w:rPr>
          <w:sz w:val="22"/>
          <w:szCs w:val="22"/>
        </w:rPr>
        <w:t>Dolayısıyla stok değişimi kalemindeki</w:t>
      </w:r>
      <w:r>
        <w:rPr>
          <w:sz w:val="22"/>
          <w:szCs w:val="22"/>
        </w:rPr>
        <w:t xml:space="preserve"> </w:t>
      </w:r>
      <w:r w:rsidRPr="00B75A4B">
        <w:rPr>
          <w:sz w:val="22"/>
          <w:szCs w:val="22"/>
        </w:rPr>
        <w:t>artış</w:t>
      </w:r>
      <w:r>
        <w:rPr>
          <w:sz w:val="22"/>
          <w:szCs w:val="22"/>
        </w:rPr>
        <w:t xml:space="preserve"> </w:t>
      </w:r>
      <w:r w:rsidRPr="00B75A4B">
        <w:rPr>
          <w:sz w:val="22"/>
          <w:szCs w:val="22"/>
        </w:rPr>
        <w:t>(azalış), stoklardaki artıştan (azalıştan)</w:t>
      </w:r>
      <w:r>
        <w:rPr>
          <w:sz w:val="22"/>
          <w:szCs w:val="22"/>
        </w:rPr>
        <w:t xml:space="preserve"> </w:t>
      </w:r>
      <w:r w:rsidRPr="00B75A4B">
        <w:rPr>
          <w:sz w:val="22"/>
          <w:szCs w:val="22"/>
        </w:rPr>
        <w:t>ziyade iki dönem stokları arasındaki farkı</w:t>
      </w:r>
      <w:r>
        <w:rPr>
          <w:sz w:val="22"/>
          <w:szCs w:val="22"/>
        </w:rPr>
        <w:t>n artısından (azalış</w:t>
      </w:r>
      <w:r w:rsidRPr="00B75A4B">
        <w:rPr>
          <w:sz w:val="22"/>
          <w:szCs w:val="22"/>
        </w:rPr>
        <w:t>ından) kaynaklanmaktadır.</w:t>
      </w:r>
    </w:p>
    <w:p w:rsidR="001008A9" w:rsidRPr="00B75A4B" w:rsidRDefault="001008A9" w:rsidP="00530B03">
      <w:pPr>
        <w:ind w:right="77"/>
        <w:jc w:val="both"/>
        <w:rPr>
          <w:sz w:val="22"/>
          <w:szCs w:val="22"/>
        </w:rPr>
      </w:pPr>
    </w:p>
    <w:p w:rsidR="001008A9" w:rsidRDefault="001008A9" w:rsidP="00530B03">
      <w:pPr>
        <w:ind w:right="77"/>
        <w:jc w:val="both"/>
        <w:rPr>
          <w:sz w:val="22"/>
          <w:szCs w:val="22"/>
        </w:rPr>
      </w:pPr>
      <w:r w:rsidRPr="00B75A4B">
        <w:rPr>
          <w:sz w:val="22"/>
          <w:szCs w:val="22"/>
        </w:rPr>
        <w:t>Ancak TÜİK, üretim ve tüketim yöntemine göre hesaplanan GSYH rakamları arasında fark olması durumunda, bu farkı da stok değişimi kaleminin içinde göstermektedir.</w:t>
      </w:r>
    </w:p>
    <w:p w:rsidR="001008A9" w:rsidRDefault="001008A9" w:rsidP="00530B03">
      <w:pPr>
        <w:ind w:right="77"/>
        <w:jc w:val="both"/>
        <w:rPr>
          <w:sz w:val="22"/>
          <w:szCs w:val="22"/>
        </w:rPr>
      </w:pPr>
    </w:p>
    <w:p w:rsidR="001008A9" w:rsidRDefault="001008A9" w:rsidP="00530B03">
      <w:pPr>
        <w:ind w:right="77"/>
        <w:jc w:val="both"/>
        <w:rPr>
          <w:sz w:val="22"/>
          <w:szCs w:val="22"/>
        </w:rPr>
      </w:pPr>
      <w:r>
        <w:rPr>
          <w:sz w:val="22"/>
          <w:szCs w:val="22"/>
        </w:rPr>
        <w:t>İki farklı</w:t>
      </w:r>
      <w:r w:rsidRPr="002F27AE">
        <w:rPr>
          <w:sz w:val="22"/>
          <w:szCs w:val="22"/>
        </w:rPr>
        <w:t xml:space="preserve"> yöntem</w:t>
      </w:r>
      <w:r>
        <w:rPr>
          <w:sz w:val="22"/>
          <w:szCs w:val="22"/>
        </w:rPr>
        <w:t>e göre hesaplanan GSYH rakamları arası</w:t>
      </w:r>
      <w:r w:rsidRPr="002F27AE">
        <w:rPr>
          <w:sz w:val="22"/>
          <w:szCs w:val="22"/>
        </w:rPr>
        <w:t>nd</w:t>
      </w:r>
      <w:r>
        <w:rPr>
          <w:sz w:val="22"/>
          <w:szCs w:val="22"/>
        </w:rPr>
        <w:t xml:space="preserve">a farkı </w:t>
      </w:r>
      <w:r>
        <w:rPr>
          <w:sz w:val="22"/>
          <w:szCs w:val="22"/>
        </w:rPr>
        <w:sym w:font="Symbol" w:char="F065"/>
      </w:r>
      <w:r w:rsidRPr="002F27AE">
        <w:rPr>
          <w:i/>
          <w:iCs/>
          <w:sz w:val="22"/>
          <w:szCs w:val="22"/>
          <w:vertAlign w:val="subscript"/>
        </w:rPr>
        <w:t>t</w:t>
      </w:r>
      <w:r w:rsidRPr="002F27AE">
        <w:rPr>
          <w:sz w:val="22"/>
          <w:szCs w:val="22"/>
          <w:vertAlign w:val="subscript"/>
        </w:rPr>
        <w:t>-1</w:t>
      </w:r>
      <w:r w:rsidRPr="002F27AE">
        <w:rPr>
          <w:sz w:val="22"/>
          <w:szCs w:val="22"/>
        </w:rPr>
        <w:t xml:space="preserve"> ile gösterecek olursak, </w:t>
      </w:r>
      <w:r w:rsidRPr="002F27AE">
        <w:rPr>
          <w:i/>
          <w:iCs/>
          <w:sz w:val="22"/>
          <w:szCs w:val="22"/>
        </w:rPr>
        <w:t>t</w:t>
      </w:r>
      <w:r>
        <w:rPr>
          <w:sz w:val="22"/>
          <w:szCs w:val="22"/>
        </w:rPr>
        <w:t xml:space="preserve"> zamanındaki 'stok değişimi' kalemini su ş</w:t>
      </w:r>
      <w:r w:rsidRPr="002F27AE">
        <w:rPr>
          <w:sz w:val="22"/>
          <w:szCs w:val="22"/>
        </w:rPr>
        <w:t>ekilde ifade edebiliriz:</w:t>
      </w:r>
    </w:p>
    <w:p w:rsidR="001008A9" w:rsidRPr="00E416B0" w:rsidRDefault="001008A9" w:rsidP="00530B03">
      <w:pPr>
        <w:ind w:right="77"/>
        <w:jc w:val="both"/>
        <w:rPr>
          <w:sz w:val="10"/>
          <w:szCs w:val="10"/>
        </w:rPr>
      </w:pPr>
    </w:p>
    <w:p w:rsidR="001008A9" w:rsidRPr="006878CD" w:rsidRDefault="001008A9" w:rsidP="00530B03">
      <w:pPr>
        <w:ind w:right="77"/>
        <w:jc w:val="both"/>
        <w:rPr>
          <w:sz w:val="22"/>
          <w:szCs w:val="22"/>
        </w:rPr>
      </w:pPr>
      <w:r w:rsidRPr="00B75A4B">
        <w:rPr>
          <w:sz w:val="22"/>
          <w:szCs w:val="22"/>
        </w:rPr>
        <w:t xml:space="preserve">Stok değişimi </w:t>
      </w:r>
      <w:r w:rsidRPr="00B75A4B">
        <w:rPr>
          <w:i/>
          <w:iCs/>
          <w:sz w:val="22"/>
          <w:szCs w:val="22"/>
          <w:vertAlign w:val="subscript"/>
        </w:rPr>
        <w:t>t</w:t>
      </w:r>
      <w:r w:rsidRPr="00B75A4B">
        <w:rPr>
          <w:sz w:val="22"/>
          <w:szCs w:val="22"/>
        </w:rPr>
        <w:t xml:space="preserve"> = </w:t>
      </w:r>
      <w:bookmarkStart w:id="0" w:name="OLE_LINK1"/>
      <w:bookmarkStart w:id="1" w:name="OLE_LINK2"/>
      <w:r w:rsidRPr="00B75A4B">
        <w:rPr>
          <w:sz w:val="22"/>
          <w:szCs w:val="22"/>
        </w:rPr>
        <w:t xml:space="preserve">Stok </w:t>
      </w:r>
      <w:r w:rsidRPr="00B75A4B">
        <w:rPr>
          <w:i/>
          <w:iCs/>
          <w:sz w:val="22"/>
          <w:szCs w:val="22"/>
          <w:vertAlign w:val="subscript"/>
        </w:rPr>
        <w:t>t</w:t>
      </w:r>
      <w:r w:rsidRPr="00B75A4B">
        <w:rPr>
          <w:sz w:val="22"/>
          <w:szCs w:val="22"/>
          <w:vertAlign w:val="subscript"/>
        </w:rPr>
        <w:t xml:space="preserve"> </w:t>
      </w:r>
      <w:r w:rsidRPr="00B75A4B">
        <w:rPr>
          <w:sz w:val="22"/>
          <w:szCs w:val="22"/>
        </w:rPr>
        <w:t xml:space="preserve">– Stok </w:t>
      </w:r>
      <w:r w:rsidRPr="00B75A4B">
        <w:rPr>
          <w:i/>
          <w:iCs/>
          <w:sz w:val="22"/>
          <w:szCs w:val="22"/>
          <w:vertAlign w:val="subscript"/>
        </w:rPr>
        <w:t>t</w:t>
      </w:r>
      <w:r w:rsidRPr="00B75A4B">
        <w:rPr>
          <w:sz w:val="22"/>
          <w:szCs w:val="22"/>
          <w:vertAlign w:val="subscript"/>
        </w:rPr>
        <w:t>-1</w:t>
      </w:r>
      <w:r>
        <w:rPr>
          <w:sz w:val="22"/>
          <w:szCs w:val="22"/>
          <w:vertAlign w:val="subscript"/>
        </w:rPr>
        <w:t xml:space="preserve"> </w:t>
      </w:r>
      <w:bookmarkEnd w:id="0"/>
      <w:bookmarkEnd w:id="1"/>
      <w:r>
        <w:rPr>
          <w:sz w:val="22"/>
          <w:szCs w:val="22"/>
        </w:rPr>
        <w:t xml:space="preserve">+ </w:t>
      </w:r>
      <w:r>
        <w:rPr>
          <w:sz w:val="22"/>
          <w:szCs w:val="22"/>
        </w:rPr>
        <w:sym w:font="Symbol" w:char="F065"/>
      </w:r>
      <w:r w:rsidRPr="002F27AE">
        <w:rPr>
          <w:i/>
          <w:iCs/>
          <w:sz w:val="22"/>
          <w:szCs w:val="22"/>
          <w:vertAlign w:val="subscript"/>
        </w:rPr>
        <w:t>t</w:t>
      </w:r>
      <w:r w:rsidRPr="002F27AE">
        <w:rPr>
          <w:sz w:val="22"/>
          <w:szCs w:val="22"/>
          <w:vertAlign w:val="subscript"/>
        </w:rPr>
        <w:t>-1</w:t>
      </w:r>
    </w:p>
    <w:p w:rsidR="001008A9" w:rsidRPr="00E416B0" w:rsidRDefault="001008A9" w:rsidP="00530B03">
      <w:pPr>
        <w:ind w:right="77"/>
        <w:jc w:val="both"/>
        <w:rPr>
          <w:sz w:val="22"/>
          <w:szCs w:val="22"/>
        </w:rPr>
      </w:pPr>
    </w:p>
    <w:p w:rsidR="001008A9" w:rsidRDefault="001008A9" w:rsidP="00530B03">
      <w:pPr>
        <w:spacing w:line="288" w:lineRule="auto"/>
        <w:ind w:right="77"/>
        <w:jc w:val="both"/>
        <w:rPr>
          <w:sz w:val="22"/>
          <w:szCs w:val="22"/>
        </w:rPr>
      </w:pPr>
      <w:r>
        <w:rPr>
          <w:sz w:val="22"/>
          <w:szCs w:val="22"/>
        </w:rPr>
        <w:t>Stok değişimi kalemindeki değişimin büyümeye katkısını ise şu şekilde bulabiliriz :</w:t>
      </w:r>
    </w:p>
    <w:p w:rsidR="001008A9" w:rsidRDefault="001008A9" w:rsidP="00530B03">
      <w:pPr>
        <w:spacing w:line="288" w:lineRule="auto"/>
        <w:ind w:right="77"/>
        <w:jc w:val="both"/>
        <w:rPr>
          <w:sz w:val="22"/>
          <w:szCs w:val="22"/>
        </w:rPr>
      </w:pPr>
      <w:r>
        <w:rPr>
          <w:sz w:val="22"/>
          <w:szCs w:val="22"/>
        </w:rPr>
        <w:t>‘Stok değişiminin’ büyümeye katkısı t</w:t>
      </w:r>
    </w:p>
    <w:p w:rsidR="001008A9" w:rsidRDefault="001008A9" w:rsidP="00530B03">
      <w:pPr>
        <w:spacing w:line="288" w:lineRule="auto"/>
        <w:ind w:right="77"/>
        <w:jc w:val="both"/>
        <w:rPr>
          <w:sz w:val="22"/>
          <w:szCs w:val="22"/>
        </w:rPr>
      </w:pPr>
      <w:r>
        <w:rPr>
          <w:sz w:val="22"/>
          <w:szCs w:val="22"/>
        </w:rPr>
        <w:t>= (</w:t>
      </w:r>
      <w:r w:rsidRPr="00B75A4B">
        <w:rPr>
          <w:sz w:val="22"/>
          <w:szCs w:val="22"/>
        </w:rPr>
        <w:t xml:space="preserve">Stok </w:t>
      </w:r>
      <w:r w:rsidRPr="00B75A4B">
        <w:rPr>
          <w:i/>
          <w:iCs/>
          <w:sz w:val="22"/>
          <w:szCs w:val="22"/>
          <w:vertAlign w:val="subscript"/>
        </w:rPr>
        <w:t>t</w:t>
      </w:r>
      <w:r w:rsidRPr="00B75A4B">
        <w:rPr>
          <w:sz w:val="22"/>
          <w:szCs w:val="22"/>
          <w:vertAlign w:val="subscript"/>
        </w:rPr>
        <w:t xml:space="preserve"> </w:t>
      </w:r>
      <w:r w:rsidRPr="00B75A4B">
        <w:rPr>
          <w:sz w:val="22"/>
          <w:szCs w:val="22"/>
        </w:rPr>
        <w:t xml:space="preserve">– Stok </w:t>
      </w:r>
      <w:r w:rsidRPr="00B75A4B">
        <w:rPr>
          <w:i/>
          <w:iCs/>
          <w:sz w:val="22"/>
          <w:szCs w:val="22"/>
          <w:vertAlign w:val="subscript"/>
        </w:rPr>
        <w:t>t</w:t>
      </w:r>
      <w:r w:rsidRPr="00B75A4B">
        <w:rPr>
          <w:sz w:val="22"/>
          <w:szCs w:val="22"/>
          <w:vertAlign w:val="subscript"/>
        </w:rPr>
        <w:t>-1</w:t>
      </w:r>
      <w:r>
        <w:rPr>
          <w:sz w:val="22"/>
          <w:szCs w:val="22"/>
        </w:rPr>
        <w:t xml:space="preserve">) / GSYH </w:t>
      </w:r>
      <w:r w:rsidRPr="009F61FA">
        <w:rPr>
          <w:i/>
          <w:iCs/>
          <w:sz w:val="22"/>
          <w:szCs w:val="22"/>
          <w:vertAlign w:val="subscript"/>
        </w:rPr>
        <w:t>t</w:t>
      </w:r>
      <w:r w:rsidRPr="009F61FA">
        <w:rPr>
          <w:sz w:val="22"/>
          <w:szCs w:val="22"/>
          <w:vertAlign w:val="subscript"/>
        </w:rPr>
        <w:t>-1</w:t>
      </w:r>
    </w:p>
    <w:p w:rsidR="001008A9" w:rsidRPr="00E416B0" w:rsidRDefault="001008A9" w:rsidP="00530B03">
      <w:pPr>
        <w:spacing w:line="288" w:lineRule="auto"/>
        <w:ind w:right="77"/>
        <w:jc w:val="both"/>
        <w:rPr>
          <w:sz w:val="10"/>
          <w:szCs w:val="10"/>
        </w:rPr>
      </w:pPr>
    </w:p>
    <w:p w:rsidR="001008A9" w:rsidRDefault="001008A9" w:rsidP="00530B03">
      <w:pPr>
        <w:spacing w:line="288" w:lineRule="auto"/>
        <w:ind w:right="77"/>
        <w:jc w:val="both"/>
        <w:rPr>
          <w:sz w:val="22"/>
          <w:szCs w:val="22"/>
        </w:rPr>
      </w:pPr>
      <w:r>
        <w:rPr>
          <w:sz w:val="22"/>
          <w:szCs w:val="22"/>
        </w:rPr>
        <w:t>Veya</w:t>
      </w:r>
    </w:p>
    <w:p w:rsidR="001008A9" w:rsidRPr="00E416B0" w:rsidRDefault="001008A9" w:rsidP="00530B03">
      <w:pPr>
        <w:spacing w:line="288" w:lineRule="auto"/>
        <w:ind w:right="77"/>
        <w:jc w:val="both"/>
        <w:rPr>
          <w:sz w:val="10"/>
          <w:szCs w:val="10"/>
        </w:rPr>
      </w:pPr>
    </w:p>
    <w:p w:rsidR="001008A9" w:rsidRDefault="001008A9" w:rsidP="00530B03">
      <w:pPr>
        <w:spacing w:line="288" w:lineRule="auto"/>
        <w:ind w:right="77"/>
        <w:jc w:val="both"/>
        <w:rPr>
          <w:sz w:val="22"/>
          <w:szCs w:val="22"/>
        </w:rPr>
      </w:pPr>
      <w:r>
        <w:rPr>
          <w:sz w:val="22"/>
          <w:szCs w:val="22"/>
        </w:rPr>
        <w:t>‘Stok değişiminin’ büyümeye katkısı t</w:t>
      </w:r>
    </w:p>
    <w:p w:rsidR="001008A9" w:rsidRDefault="001008A9" w:rsidP="00530B03">
      <w:pPr>
        <w:spacing w:line="288" w:lineRule="auto"/>
        <w:ind w:right="77"/>
        <w:jc w:val="both"/>
        <w:rPr>
          <w:sz w:val="22"/>
          <w:szCs w:val="22"/>
        </w:rPr>
      </w:pPr>
      <w:r>
        <w:rPr>
          <w:sz w:val="22"/>
          <w:szCs w:val="22"/>
        </w:rPr>
        <w:t>= ((</w:t>
      </w:r>
      <w:r w:rsidRPr="00B75A4B">
        <w:rPr>
          <w:sz w:val="22"/>
          <w:szCs w:val="22"/>
        </w:rPr>
        <w:t xml:space="preserve">Stok </w:t>
      </w:r>
      <w:r w:rsidRPr="00B75A4B">
        <w:rPr>
          <w:i/>
          <w:iCs/>
          <w:sz w:val="22"/>
          <w:szCs w:val="22"/>
          <w:vertAlign w:val="subscript"/>
        </w:rPr>
        <w:t>t</w:t>
      </w:r>
      <w:r w:rsidRPr="00B75A4B">
        <w:rPr>
          <w:sz w:val="22"/>
          <w:szCs w:val="22"/>
          <w:vertAlign w:val="subscript"/>
        </w:rPr>
        <w:t xml:space="preserve"> </w:t>
      </w:r>
      <w:r w:rsidRPr="00B75A4B">
        <w:rPr>
          <w:sz w:val="22"/>
          <w:szCs w:val="22"/>
        </w:rPr>
        <w:t xml:space="preserve">– Stok </w:t>
      </w:r>
      <w:r w:rsidRPr="00B75A4B">
        <w:rPr>
          <w:i/>
          <w:iCs/>
          <w:sz w:val="22"/>
          <w:szCs w:val="22"/>
          <w:vertAlign w:val="subscript"/>
        </w:rPr>
        <w:t>t</w:t>
      </w:r>
      <w:r w:rsidRPr="00B75A4B">
        <w:rPr>
          <w:sz w:val="22"/>
          <w:szCs w:val="22"/>
          <w:vertAlign w:val="subscript"/>
        </w:rPr>
        <w:t>-1</w:t>
      </w:r>
      <w:r>
        <w:rPr>
          <w:sz w:val="22"/>
          <w:szCs w:val="22"/>
          <w:vertAlign w:val="subscript"/>
        </w:rPr>
        <w:t xml:space="preserve"> </w:t>
      </w:r>
      <w:r>
        <w:rPr>
          <w:sz w:val="22"/>
          <w:szCs w:val="22"/>
        </w:rPr>
        <w:t xml:space="preserve">+ </w:t>
      </w:r>
      <w:r>
        <w:rPr>
          <w:sz w:val="22"/>
          <w:szCs w:val="22"/>
        </w:rPr>
        <w:sym w:font="Symbol" w:char="F065"/>
      </w:r>
      <w:r w:rsidRPr="002F27AE">
        <w:rPr>
          <w:i/>
          <w:iCs/>
          <w:sz w:val="22"/>
          <w:szCs w:val="22"/>
          <w:vertAlign w:val="subscript"/>
        </w:rPr>
        <w:t>t</w:t>
      </w:r>
      <w:r>
        <w:rPr>
          <w:sz w:val="22"/>
          <w:szCs w:val="22"/>
          <w:vertAlign w:val="subscript"/>
        </w:rPr>
        <w:t xml:space="preserve"> </w:t>
      </w:r>
      <w:r>
        <w:rPr>
          <w:sz w:val="22"/>
          <w:szCs w:val="22"/>
        </w:rPr>
        <w:t>) – (</w:t>
      </w:r>
      <w:r w:rsidRPr="00B75A4B">
        <w:rPr>
          <w:sz w:val="22"/>
          <w:szCs w:val="22"/>
        </w:rPr>
        <w:t xml:space="preserve">Stok </w:t>
      </w:r>
      <w:r w:rsidRPr="00B75A4B">
        <w:rPr>
          <w:i/>
          <w:iCs/>
          <w:sz w:val="22"/>
          <w:szCs w:val="22"/>
          <w:vertAlign w:val="subscript"/>
        </w:rPr>
        <w:t>t</w:t>
      </w:r>
      <w:r>
        <w:rPr>
          <w:sz w:val="22"/>
          <w:szCs w:val="22"/>
          <w:vertAlign w:val="subscript"/>
        </w:rPr>
        <w:t>-1</w:t>
      </w:r>
      <w:r w:rsidRPr="00B75A4B">
        <w:rPr>
          <w:sz w:val="22"/>
          <w:szCs w:val="22"/>
          <w:vertAlign w:val="subscript"/>
        </w:rPr>
        <w:t xml:space="preserve"> </w:t>
      </w:r>
      <w:r w:rsidRPr="00B75A4B">
        <w:rPr>
          <w:sz w:val="22"/>
          <w:szCs w:val="22"/>
        </w:rPr>
        <w:t xml:space="preserve">– Stok </w:t>
      </w:r>
      <w:r w:rsidRPr="00B75A4B">
        <w:rPr>
          <w:i/>
          <w:iCs/>
          <w:sz w:val="22"/>
          <w:szCs w:val="22"/>
          <w:vertAlign w:val="subscript"/>
        </w:rPr>
        <w:t>t</w:t>
      </w:r>
      <w:r w:rsidRPr="00B75A4B">
        <w:rPr>
          <w:sz w:val="22"/>
          <w:szCs w:val="22"/>
          <w:vertAlign w:val="subscript"/>
        </w:rPr>
        <w:t>-</w:t>
      </w:r>
      <w:r>
        <w:rPr>
          <w:sz w:val="22"/>
          <w:szCs w:val="22"/>
          <w:vertAlign w:val="subscript"/>
        </w:rPr>
        <w:t xml:space="preserve">2 </w:t>
      </w:r>
      <w:r>
        <w:rPr>
          <w:sz w:val="22"/>
          <w:szCs w:val="22"/>
        </w:rPr>
        <w:t xml:space="preserve">+ </w:t>
      </w:r>
      <w:r>
        <w:rPr>
          <w:sz w:val="22"/>
          <w:szCs w:val="22"/>
        </w:rPr>
        <w:sym w:font="Symbol" w:char="F065"/>
      </w:r>
      <w:r w:rsidRPr="002F27AE">
        <w:rPr>
          <w:i/>
          <w:iCs/>
          <w:sz w:val="22"/>
          <w:szCs w:val="22"/>
          <w:vertAlign w:val="subscript"/>
        </w:rPr>
        <w:t>t</w:t>
      </w:r>
      <w:r w:rsidRPr="002F27AE">
        <w:rPr>
          <w:sz w:val="22"/>
          <w:szCs w:val="22"/>
          <w:vertAlign w:val="subscript"/>
        </w:rPr>
        <w:t>-1</w:t>
      </w:r>
      <w:r>
        <w:rPr>
          <w:sz w:val="22"/>
          <w:szCs w:val="22"/>
        </w:rPr>
        <w:t>))</w:t>
      </w:r>
    </w:p>
    <w:p w:rsidR="001008A9" w:rsidRDefault="001008A9" w:rsidP="00530B03">
      <w:pPr>
        <w:spacing w:line="288" w:lineRule="auto"/>
        <w:ind w:right="77"/>
        <w:jc w:val="both"/>
        <w:rPr>
          <w:sz w:val="22"/>
          <w:szCs w:val="22"/>
        </w:rPr>
      </w:pPr>
      <w:r>
        <w:rPr>
          <w:sz w:val="22"/>
          <w:szCs w:val="22"/>
        </w:rPr>
        <w:t xml:space="preserve">    / GSYH </w:t>
      </w:r>
      <w:r w:rsidRPr="002D2C9F">
        <w:rPr>
          <w:i/>
          <w:iCs/>
          <w:sz w:val="22"/>
          <w:szCs w:val="22"/>
          <w:vertAlign w:val="subscript"/>
        </w:rPr>
        <w:t>t</w:t>
      </w:r>
      <w:r w:rsidRPr="002D2C9F">
        <w:rPr>
          <w:sz w:val="22"/>
          <w:szCs w:val="22"/>
          <w:vertAlign w:val="subscript"/>
        </w:rPr>
        <w:t>-1</w:t>
      </w:r>
    </w:p>
    <w:p w:rsidR="001008A9" w:rsidRDefault="001008A9" w:rsidP="00530B03">
      <w:pPr>
        <w:spacing w:line="288" w:lineRule="auto"/>
        <w:ind w:right="-318"/>
        <w:jc w:val="both"/>
        <w:rPr>
          <w:sz w:val="22"/>
          <w:szCs w:val="22"/>
        </w:rPr>
      </w:pPr>
    </w:p>
    <w:p w:rsidR="001008A9" w:rsidRDefault="001008A9" w:rsidP="00530B03">
      <w:pPr>
        <w:spacing w:line="288" w:lineRule="auto"/>
        <w:ind w:right="-318"/>
        <w:jc w:val="both"/>
        <w:rPr>
          <w:rFonts w:ascii="Arial" w:hAnsi="Arial" w:cs="Arial"/>
          <w:sz w:val="20"/>
          <w:szCs w:val="20"/>
        </w:rPr>
      </w:pPr>
    </w:p>
    <w:p w:rsidR="001008A9" w:rsidRDefault="001008A9" w:rsidP="00530B03">
      <w:pPr>
        <w:spacing w:line="288" w:lineRule="auto"/>
        <w:ind w:right="-318"/>
        <w:jc w:val="both"/>
        <w:rPr>
          <w:rFonts w:ascii="Arial" w:hAnsi="Arial" w:cs="Arial"/>
          <w:sz w:val="20"/>
          <w:szCs w:val="20"/>
        </w:rPr>
      </w:pPr>
    </w:p>
    <w:p w:rsidR="001008A9" w:rsidRDefault="001008A9" w:rsidP="00530B03">
      <w:pPr>
        <w:spacing w:line="288" w:lineRule="auto"/>
        <w:ind w:right="-318"/>
        <w:jc w:val="both"/>
        <w:rPr>
          <w:rFonts w:ascii="Arial" w:hAnsi="Arial" w:cs="Arial"/>
          <w:sz w:val="20"/>
          <w:szCs w:val="20"/>
        </w:rPr>
      </w:pPr>
    </w:p>
    <w:p w:rsidR="001008A9" w:rsidRDefault="001008A9" w:rsidP="00530B03">
      <w:pPr>
        <w:spacing w:line="288" w:lineRule="auto"/>
        <w:ind w:right="-318"/>
        <w:jc w:val="both"/>
        <w:rPr>
          <w:rFonts w:ascii="Arial" w:hAnsi="Arial" w:cs="Arial"/>
          <w:sz w:val="20"/>
          <w:szCs w:val="20"/>
        </w:rPr>
      </w:pPr>
    </w:p>
    <w:p w:rsidR="001008A9" w:rsidRDefault="001008A9" w:rsidP="00530B03">
      <w:pPr>
        <w:spacing w:line="288" w:lineRule="auto"/>
        <w:ind w:right="-318"/>
        <w:jc w:val="both"/>
        <w:rPr>
          <w:rFonts w:ascii="Arial" w:hAnsi="Arial" w:cs="Arial"/>
          <w:sz w:val="20"/>
          <w:szCs w:val="20"/>
        </w:rPr>
      </w:pPr>
    </w:p>
    <w:p w:rsidR="001008A9" w:rsidRDefault="001008A9" w:rsidP="00530B03">
      <w:pPr>
        <w:spacing w:line="288" w:lineRule="auto"/>
        <w:ind w:right="-318"/>
        <w:jc w:val="both"/>
        <w:rPr>
          <w:rFonts w:ascii="Arial" w:hAnsi="Arial" w:cs="Arial"/>
          <w:sz w:val="20"/>
          <w:szCs w:val="20"/>
        </w:rPr>
      </w:pPr>
    </w:p>
    <w:p w:rsidR="001008A9" w:rsidRDefault="001008A9" w:rsidP="00530B03">
      <w:pPr>
        <w:spacing w:line="288" w:lineRule="auto"/>
        <w:ind w:right="-318"/>
        <w:jc w:val="both"/>
        <w:rPr>
          <w:rFonts w:ascii="Arial" w:hAnsi="Arial" w:cs="Arial"/>
          <w:sz w:val="20"/>
          <w:szCs w:val="20"/>
        </w:rPr>
      </w:pPr>
    </w:p>
    <w:p w:rsidR="001008A9" w:rsidRDefault="001008A9" w:rsidP="00530B03">
      <w:pPr>
        <w:spacing w:line="288" w:lineRule="auto"/>
        <w:ind w:right="-318"/>
        <w:jc w:val="both"/>
        <w:rPr>
          <w:rFonts w:ascii="Arial" w:hAnsi="Arial" w:cs="Arial"/>
          <w:sz w:val="20"/>
          <w:szCs w:val="20"/>
        </w:rPr>
      </w:pPr>
    </w:p>
    <w:p w:rsidR="001008A9" w:rsidRDefault="001008A9" w:rsidP="00530B03">
      <w:pPr>
        <w:spacing w:line="288" w:lineRule="auto"/>
        <w:ind w:right="-318"/>
        <w:jc w:val="both"/>
        <w:rPr>
          <w:rFonts w:ascii="Arial" w:hAnsi="Arial" w:cs="Arial"/>
          <w:sz w:val="20"/>
          <w:szCs w:val="20"/>
        </w:rPr>
      </w:pPr>
    </w:p>
    <w:p w:rsidR="001008A9" w:rsidRDefault="001008A9" w:rsidP="00530B03">
      <w:pPr>
        <w:spacing w:line="288" w:lineRule="auto"/>
        <w:ind w:right="-318"/>
        <w:jc w:val="both"/>
        <w:rPr>
          <w:rFonts w:ascii="Arial" w:hAnsi="Arial" w:cs="Arial"/>
          <w:sz w:val="20"/>
          <w:szCs w:val="20"/>
        </w:rPr>
      </w:pPr>
    </w:p>
    <w:p w:rsidR="001008A9" w:rsidRDefault="001008A9" w:rsidP="00530B03">
      <w:pPr>
        <w:autoSpaceDE w:val="0"/>
        <w:autoSpaceDN w:val="0"/>
        <w:adjustRightInd w:val="0"/>
        <w:rPr>
          <w:rFonts w:ascii="CMBX10" w:hAnsi="CMBX10" w:cs="CMBX10"/>
          <w:sz w:val="22"/>
          <w:szCs w:val="22"/>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p w:rsidR="001008A9" w:rsidRDefault="001008A9" w:rsidP="00C335E9">
      <w:pPr>
        <w:pStyle w:val="NormalWeb"/>
        <w:spacing w:before="0" w:beforeAutospacing="0" w:after="0" w:afterAutospacing="0"/>
        <w:ind w:right="77"/>
        <w:jc w:val="both"/>
        <w:rPr>
          <w:rFonts w:ascii="Arial" w:hAnsi="Arial" w:cs="Arial"/>
          <w:sz w:val="20"/>
          <w:szCs w:val="20"/>
        </w:rPr>
      </w:pPr>
    </w:p>
    <w:sectPr w:rsidR="001008A9" w:rsidSect="00C335E9">
      <w:type w:val="continuous"/>
      <w:pgSz w:w="11906" w:h="16838"/>
      <w:pgMar w:top="1417" w:right="1106" w:bottom="1417" w:left="900" w:header="708" w:footer="708" w:gutter="0"/>
      <w:cols w:num="2" w:space="3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45D" w:rsidRDefault="0030645D">
      <w:r>
        <w:separator/>
      </w:r>
    </w:p>
  </w:endnote>
  <w:endnote w:type="continuationSeparator" w:id="1">
    <w:p w:rsidR="0030645D" w:rsidRDefault="00306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TUR">
    <w:panose1 w:val="020B0604020202020204"/>
    <w:charset w:val="A2"/>
    <w:family w:val="swiss"/>
    <w:pitch w:val="variable"/>
    <w:sig w:usb0="20002A87" w:usb1="80000000" w:usb2="00000008" w:usb3="00000000" w:csb0="000001FF" w:csb1="00000000"/>
  </w:font>
  <w:font w:name="CMBX10">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8A9" w:rsidRDefault="00E821CF" w:rsidP="007344A9">
    <w:pPr>
      <w:pStyle w:val="Altbilgi"/>
      <w:framePr w:wrap="auto" w:vAnchor="text" w:hAnchor="margin" w:xAlign="right" w:y="1"/>
      <w:rPr>
        <w:rStyle w:val="SayfaNumaras"/>
      </w:rPr>
    </w:pPr>
    <w:r>
      <w:rPr>
        <w:rStyle w:val="SayfaNumaras"/>
      </w:rPr>
      <w:fldChar w:fldCharType="begin"/>
    </w:r>
    <w:r w:rsidR="001008A9">
      <w:rPr>
        <w:rStyle w:val="SayfaNumaras"/>
      </w:rPr>
      <w:instrText xml:space="preserve">PAGE  </w:instrText>
    </w:r>
    <w:r>
      <w:rPr>
        <w:rStyle w:val="SayfaNumaras"/>
      </w:rPr>
      <w:fldChar w:fldCharType="separate"/>
    </w:r>
    <w:r w:rsidR="007747B7">
      <w:rPr>
        <w:rStyle w:val="SayfaNumaras"/>
        <w:noProof/>
      </w:rPr>
      <w:t>5</w:t>
    </w:r>
    <w:r>
      <w:rPr>
        <w:rStyle w:val="SayfaNumaras"/>
      </w:rPr>
      <w:fldChar w:fldCharType="end"/>
    </w:r>
  </w:p>
  <w:p w:rsidR="001008A9" w:rsidRPr="007750EF" w:rsidRDefault="001008A9" w:rsidP="00017426">
    <w:pPr>
      <w:pStyle w:val="Altbilgi"/>
      <w:ind w:right="360"/>
      <w:jc w:val="center"/>
      <w:rPr>
        <w:rFonts w:ascii="Arial" w:hAnsi="Arial" w:cs="Arial"/>
        <w:b/>
        <w:bCs/>
        <w:i/>
        <w:iCs/>
        <w:sz w:val="20"/>
        <w:szCs w:val="20"/>
      </w:rPr>
    </w:pPr>
    <w:r w:rsidRPr="007750EF">
      <w:rPr>
        <w:rFonts w:ascii="Arial" w:hAnsi="Arial" w:cs="Arial"/>
        <w:b/>
        <w:bCs/>
        <w:i/>
        <w:iCs/>
        <w:sz w:val="20"/>
        <w:szCs w:val="20"/>
      </w:rPr>
      <w:t>www.betam.bahcesehir.edu.tr</w:t>
    </w:r>
  </w:p>
  <w:p w:rsidR="001008A9" w:rsidRDefault="001008A9" w:rsidP="00B7233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45D" w:rsidRDefault="0030645D">
      <w:r>
        <w:separator/>
      </w:r>
    </w:p>
  </w:footnote>
  <w:footnote w:type="continuationSeparator" w:id="1">
    <w:p w:rsidR="0030645D" w:rsidRDefault="0030645D">
      <w:r>
        <w:continuationSeparator/>
      </w:r>
    </w:p>
  </w:footnote>
  <w:footnote w:id="2">
    <w:p w:rsidR="00252DEE" w:rsidRDefault="00252DEE">
      <w:pPr>
        <w:pStyle w:val="DipnotMetni"/>
      </w:pPr>
      <w:r>
        <w:rPr>
          <w:rStyle w:val="DipnotBavurusu"/>
        </w:rPr>
        <w:footnoteRef/>
      </w:r>
      <w:r>
        <w:t xml:space="preserve"> </w:t>
      </w:r>
      <w:r w:rsidRPr="00252DEE">
        <w:rPr>
          <w:bCs/>
        </w:rPr>
        <w:t>TÜİK ve BETAM’ın yöntemleri arasındaki fark</w:t>
      </w:r>
      <w:r>
        <w:rPr>
          <w:bCs/>
        </w:rPr>
        <w:t xml:space="preserve"> Ek1’de açıklanmaktadır.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F5F4EC5"/>
    <w:multiLevelType w:val="hybridMultilevel"/>
    <w:tmpl w:val="5A30769A"/>
    <w:lvl w:ilvl="0" w:tplc="041F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nsid w:val="5CCE1052"/>
    <w:multiLevelType w:val="multilevel"/>
    <w:tmpl w:val="4C40BD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7DF506F2"/>
    <w:multiLevelType w:val="hybridMultilevel"/>
    <w:tmpl w:val="4C40BD48"/>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numFmt w:val="chicago"/>
    <w:footnote w:id="0"/>
    <w:footnote w:id="1"/>
  </w:footnotePr>
  <w:endnotePr>
    <w:endnote w:id="0"/>
    <w:endnote w:id="1"/>
  </w:endnotePr>
  <w:compat/>
  <w:rsids>
    <w:rsidRoot w:val="00AE0BBB"/>
    <w:rsid w:val="00001444"/>
    <w:rsid w:val="00002CEE"/>
    <w:rsid w:val="000038DF"/>
    <w:rsid w:val="0000598D"/>
    <w:rsid w:val="000103E6"/>
    <w:rsid w:val="0001391D"/>
    <w:rsid w:val="00017426"/>
    <w:rsid w:val="000231C7"/>
    <w:rsid w:val="00027FFB"/>
    <w:rsid w:val="000301E5"/>
    <w:rsid w:val="00033759"/>
    <w:rsid w:val="00034ECF"/>
    <w:rsid w:val="00041917"/>
    <w:rsid w:val="00054DF2"/>
    <w:rsid w:val="00060E9B"/>
    <w:rsid w:val="00060EC4"/>
    <w:rsid w:val="00076A31"/>
    <w:rsid w:val="00076E68"/>
    <w:rsid w:val="00083ED6"/>
    <w:rsid w:val="000847EA"/>
    <w:rsid w:val="000A1C83"/>
    <w:rsid w:val="000A3710"/>
    <w:rsid w:val="000A4BD1"/>
    <w:rsid w:val="000A6CA9"/>
    <w:rsid w:val="000A701D"/>
    <w:rsid w:val="000B0501"/>
    <w:rsid w:val="000B1F93"/>
    <w:rsid w:val="000B25B7"/>
    <w:rsid w:val="000C04C5"/>
    <w:rsid w:val="000C5B7E"/>
    <w:rsid w:val="000C5C8B"/>
    <w:rsid w:val="000D321F"/>
    <w:rsid w:val="000D4F14"/>
    <w:rsid w:val="000D79EC"/>
    <w:rsid w:val="000E10A3"/>
    <w:rsid w:val="000F0FAB"/>
    <w:rsid w:val="000F4941"/>
    <w:rsid w:val="001008A9"/>
    <w:rsid w:val="00105A12"/>
    <w:rsid w:val="00107363"/>
    <w:rsid w:val="0010795F"/>
    <w:rsid w:val="001105B2"/>
    <w:rsid w:val="00110EBA"/>
    <w:rsid w:val="00111AD6"/>
    <w:rsid w:val="001168BF"/>
    <w:rsid w:val="00124F5D"/>
    <w:rsid w:val="00130969"/>
    <w:rsid w:val="00130FEE"/>
    <w:rsid w:val="00141A2F"/>
    <w:rsid w:val="00144245"/>
    <w:rsid w:val="00150C5D"/>
    <w:rsid w:val="0015266B"/>
    <w:rsid w:val="001635A4"/>
    <w:rsid w:val="0016522D"/>
    <w:rsid w:val="00166F89"/>
    <w:rsid w:val="001679A2"/>
    <w:rsid w:val="00170BCF"/>
    <w:rsid w:val="00177D70"/>
    <w:rsid w:val="00177FE3"/>
    <w:rsid w:val="001A0A58"/>
    <w:rsid w:val="001A1E7D"/>
    <w:rsid w:val="001A2605"/>
    <w:rsid w:val="001A6323"/>
    <w:rsid w:val="001A7176"/>
    <w:rsid w:val="001B0683"/>
    <w:rsid w:val="001B4591"/>
    <w:rsid w:val="001C396B"/>
    <w:rsid w:val="001C5776"/>
    <w:rsid w:val="001C629C"/>
    <w:rsid w:val="001D404B"/>
    <w:rsid w:val="001D4057"/>
    <w:rsid w:val="001D7231"/>
    <w:rsid w:val="001E1DFE"/>
    <w:rsid w:val="001E5D74"/>
    <w:rsid w:val="001F0A81"/>
    <w:rsid w:val="001F19DC"/>
    <w:rsid w:val="002063D4"/>
    <w:rsid w:val="00206831"/>
    <w:rsid w:val="002111EE"/>
    <w:rsid w:val="0022485B"/>
    <w:rsid w:val="002304FE"/>
    <w:rsid w:val="002310A4"/>
    <w:rsid w:val="00232927"/>
    <w:rsid w:val="00240B3E"/>
    <w:rsid w:val="00242460"/>
    <w:rsid w:val="00252DEE"/>
    <w:rsid w:val="002548F5"/>
    <w:rsid w:val="00256199"/>
    <w:rsid w:val="00263147"/>
    <w:rsid w:val="002776F4"/>
    <w:rsid w:val="002829AF"/>
    <w:rsid w:val="002A1249"/>
    <w:rsid w:val="002A66ED"/>
    <w:rsid w:val="002C2FE3"/>
    <w:rsid w:val="002C3E28"/>
    <w:rsid w:val="002C664B"/>
    <w:rsid w:val="002D2C9F"/>
    <w:rsid w:val="002E24C3"/>
    <w:rsid w:val="002E4241"/>
    <w:rsid w:val="002E4ADD"/>
    <w:rsid w:val="002E4EBB"/>
    <w:rsid w:val="002F27AE"/>
    <w:rsid w:val="002F4D4C"/>
    <w:rsid w:val="002F5134"/>
    <w:rsid w:val="00303668"/>
    <w:rsid w:val="0030645D"/>
    <w:rsid w:val="0031043B"/>
    <w:rsid w:val="00311DAA"/>
    <w:rsid w:val="00312D10"/>
    <w:rsid w:val="003142BA"/>
    <w:rsid w:val="00315A38"/>
    <w:rsid w:val="00323B97"/>
    <w:rsid w:val="00334029"/>
    <w:rsid w:val="0034543C"/>
    <w:rsid w:val="0035157D"/>
    <w:rsid w:val="003515B5"/>
    <w:rsid w:val="00351F97"/>
    <w:rsid w:val="0035628A"/>
    <w:rsid w:val="0036512F"/>
    <w:rsid w:val="00370430"/>
    <w:rsid w:val="00373696"/>
    <w:rsid w:val="003766BB"/>
    <w:rsid w:val="00384835"/>
    <w:rsid w:val="00384C18"/>
    <w:rsid w:val="00397F47"/>
    <w:rsid w:val="003A0ECD"/>
    <w:rsid w:val="003C0C43"/>
    <w:rsid w:val="003C1ECC"/>
    <w:rsid w:val="003D29C7"/>
    <w:rsid w:val="003D7E7F"/>
    <w:rsid w:val="003E02D6"/>
    <w:rsid w:val="003E3634"/>
    <w:rsid w:val="00400B76"/>
    <w:rsid w:val="00402989"/>
    <w:rsid w:val="00405EC6"/>
    <w:rsid w:val="0040666B"/>
    <w:rsid w:val="0040754A"/>
    <w:rsid w:val="00414520"/>
    <w:rsid w:val="0041456D"/>
    <w:rsid w:val="00423CB6"/>
    <w:rsid w:val="004254C3"/>
    <w:rsid w:val="00425675"/>
    <w:rsid w:val="004337B1"/>
    <w:rsid w:val="004360BB"/>
    <w:rsid w:val="004458F8"/>
    <w:rsid w:val="0044594B"/>
    <w:rsid w:val="00450ACD"/>
    <w:rsid w:val="004529AD"/>
    <w:rsid w:val="00453FA5"/>
    <w:rsid w:val="00470351"/>
    <w:rsid w:val="004714CD"/>
    <w:rsid w:val="00475519"/>
    <w:rsid w:val="00484F5F"/>
    <w:rsid w:val="004947B8"/>
    <w:rsid w:val="00497E5F"/>
    <w:rsid w:val="004A3A86"/>
    <w:rsid w:val="004A4704"/>
    <w:rsid w:val="004B27BA"/>
    <w:rsid w:val="004B63B3"/>
    <w:rsid w:val="004E272F"/>
    <w:rsid w:val="004E3889"/>
    <w:rsid w:val="004E6D54"/>
    <w:rsid w:val="004F3BA9"/>
    <w:rsid w:val="004F40CF"/>
    <w:rsid w:val="004F7017"/>
    <w:rsid w:val="0050593C"/>
    <w:rsid w:val="00513310"/>
    <w:rsid w:val="00514BF6"/>
    <w:rsid w:val="0051655D"/>
    <w:rsid w:val="005171AD"/>
    <w:rsid w:val="00520C9F"/>
    <w:rsid w:val="00526178"/>
    <w:rsid w:val="00530B03"/>
    <w:rsid w:val="00542058"/>
    <w:rsid w:val="00552BF8"/>
    <w:rsid w:val="00572866"/>
    <w:rsid w:val="005774A6"/>
    <w:rsid w:val="00580A75"/>
    <w:rsid w:val="00585B90"/>
    <w:rsid w:val="0058720D"/>
    <w:rsid w:val="0058797D"/>
    <w:rsid w:val="00591DB9"/>
    <w:rsid w:val="00595B85"/>
    <w:rsid w:val="005A5C33"/>
    <w:rsid w:val="005B3336"/>
    <w:rsid w:val="005C5B4F"/>
    <w:rsid w:val="005C6DF4"/>
    <w:rsid w:val="005D32E4"/>
    <w:rsid w:val="005D4715"/>
    <w:rsid w:val="005D47AA"/>
    <w:rsid w:val="005D7AE5"/>
    <w:rsid w:val="005E26C6"/>
    <w:rsid w:val="005E4725"/>
    <w:rsid w:val="005E4EF0"/>
    <w:rsid w:val="005E763B"/>
    <w:rsid w:val="005F31BE"/>
    <w:rsid w:val="005F51ED"/>
    <w:rsid w:val="00604C1F"/>
    <w:rsid w:val="006057A0"/>
    <w:rsid w:val="00633C51"/>
    <w:rsid w:val="00657A89"/>
    <w:rsid w:val="00660DE2"/>
    <w:rsid w:val="006641E9"/>
    <w:rsid w:val="00680D3E"/>
    <w:rsid w:val="006878CD"/>
    <w:rsid w:val="00692DB0"/>
    <w:rsid w:val="0069530D"/>
    <w:rsid w:val="00697C0A"/>
    <w:rsid w:val="006A343A"/>
    <w:rsid w:val="006A46FE"/>
    <w:rsid w:val="006A538E"/>
    <w:rsid w:val="006A6C5B"/>
    <w:rsid w:val="006B4D2C"/>
    <w:rsid w:val="006C2514"/>
    <w:rsid w:val="006C405A"/>
    <w:rsid w:val="006C59C1"/>
    <w:rsid w:val="006D0CA9"/>
    <w:rsid w:val="006D3857"/>
    <w:rsid w:val="006E0CBB"/>
    <w:rsid w:val="006F190C"/>
    <w:rsid w:val="006F4A63"/>
    <w:rsid w:val="00700658"/>
    <w:rsid w:val="007041DF"/>
    <w:rsid w:val="00710098"/>
    <w:rsid w:val="00712B0C"/>
    <w:rsid w:val="00712EDE"/>
    <w:rsid w:val="00716BBE"/>
    <w:rsid w:val="00717B60"/>
    <w:rsid w:val="00720EA3"/>
    <w:rsid w:val="0072389D"/>
    <w:rsid w:val="00726749"/>
    <w:rsid w:val="00727963"/>
    <w:rsid w:val="0073287D"/>
    <w:rsid w:val="007344A9"/>
    <w:rsid w:val="007415A5"/>
    <w:rsid w:val="00744ACB"/>
    <w:rsid w:val="00752C9A"/>
    <w:rsid w:val="00754536"/>
    <w:rsid w:val="0075696F"/>
    <w:rsid w:val="0076354F"/>
    <w:rsid w:val="00763C67"/>
    <w:rsid w:val="00773D7C"/>
    <w:rsid w:val="007747B7"/>
    <w:rsid w:val="007750EF"/>
    <w:rsid w:val="007777F0"/>
    <w:rsid w:val="007818BA"/>
    <w:rsid w:val="00783713"/>
    <w:rsid w:val="007848CD"/>
    <w:rsid w:val="007849D7"/>
    <w:rsid w:val="007868A5"/>
    <w:rsid w:val="007972B3"/>
    <w:rsid w:val="007A35F3"/>
    <w:rsid w:val="007A669F"/>
    <w:rsid w:val="007B0061"/>
    <w:rsid w:val="007B5709"/>
    <w:rsid w:val="007B71AC"/>
    <w:rsid w:val="007C2C17"/>
    <w:rsid w:val="007C3006"/>
    <w:rsid w:val="007D27BC"/>
    <w:rsid w:val="007D6427"/>
    <w:rsid w:val="007E2BBD"/>
    <w:rsid w:val="007E6250"/>
    <w:rsid w:val="007F41B8"/>
    <w:rsid w:val="007F50E5"/>
    <w:rsid w:val="00803483"/>
    <w:rsid w:val="008038AF"/>
    <w:rsid w:val="00803E3E"/>
    <w:rsid w:val="008070A4"/>
    <w:rsid w:val="0081069F"/>
    <w:rsid w:val="00810A1F"/>
    <w:rsid w:val="008178BE"/>
    <w:rsid w:val="00817A96"/>
    <w:rsid w:val="00823EC8"/>
    <w:rsid w:val="00823FE3"/>
    <w:rsid w:val="00835D6F"/>
    <w:rsid w:val="008372E2"/>
    <w:rsid w:val="008503B3"/>
    <w:rsid w:val="008517F6"/>
    <w:rsid w:val="00862742"/>
    <w:rsid w:val="0087093F"/>
    <w:rsid w:val="008767FF"/>
    <w:rsid w:val="0088054E"/>
    <w:rsid w:val="008870E7"/>
    <w:rsid w:val="00890B1D"/>
    <w:rsid w:val="0089443A"/>
    <w:rsid w:val="008A14F5"/>
    <w:rsid w:val="008A1528"/>
    <w:rsid w:val="008A5FC4"/>
    <w:rsid w:val="008A6647"/>
    <w:rsid w:val="008D3D8C"/>
    <w:rsid w:val="008D5294"/>
    <w:rsid w:val="008D711C"/>
    <w:rsid w:val="008E019D"/>
    <w:rsid w:val="008E3765"/>
    <w:rsid w:val="0091124D"/>
    <w:rsid w:val="0091445B"/>
    <w:rsid w:val="009151D5"/>
    <w:rsid w:val="00915B1B"/>
    <w:rsid w:val="00923AE7"/>
    <w:rsid w:val="00930D19"/>
    <w:rsid w:val="009344D3"/>
    <w:rsid w:val="00934718"/>
    <w:rsid w:val="009377F5"/>
    <w:rsid w:val="00937D5B"/>
    <w:rsid w:val="00945FFA"/>
    <w:rsid w:val="00952683"/>
    <w:rsid w:val="00953EFF"/>
    <w:rsid w:val="009575C3"/>
    <w:rsid w:val="009608B2"/>
    <w:rsid w:val="00970251"/>
    <w:rsid w:val="00976707"/>
    <w:rsid w:val="00983059"/>
    <w:rsid w:val="009860B5"/>
    <w:rsid w:val="00995F40"/>
    <w:rsid w:val="00996034"/>
    <w:rsid w:val="009969B5"/>
    <w:rsid w:val="009A0FAF"/>
    <w:rsid w:val="009A13FB"/>
    <w:rsid w:val="009A38F2"/>
    <w:rsid w:val="009A3A23"/>
    <w:rsid w:val="009A5CBE"/>
    <w:rsid w:val="009B0545"/>
    <w:rsid w:val="009B3ADD"/>
    <w:rsid w:val="009C7AA9"/>
    <w:rsid w:val="009D0F22"/>
    <w:rsid w:val="009E0021"/>
    <w:rsid w:val="009E0068"/>
    <w:rsid w:val="009F1285"/>
    <w:rsid w:val="009F61FA"/>
    <w:rsid w:val="009F76E5"/>
    <w:rsid w:val="00A0011A"/>
    <w:rsid w:val="00A13AC7"/>
    <w:rsid w:val="00A168A0"/>
    <w:rsid w:val="00A208D0"/>
    <w:rsid w:val="00A21846"/>
    <w:rsid w:val="00A27158"/>
    <w:rsid w:val="00A3171E"/>
    <w:rsid w:val="00A31D44"/>
    <w:rsid w:val="00A32346"/>
    <w:rsid w:val="00A50DE6"/>
    <w:rsid w:val="00A54173"/>
    <w:rsid w:val="00A57199"/>
    <w:rsid w:val="00A610C8"/>
    <w:rsid w:val="00A70CB2"/>
    <w:rsid w:val="00A76BDF"/>
    <w:rsid w:val="00A7746C"/>
    <w:rsid w:val="00A85A9E"/>
    <w:rsid w:val="00A86B36"/>
    <w:rsid w:val="00A95582"/>
    <w:rsid w:val="00AE0BBB"/>
    <w:rsid w:val="00AE12DE"/>
    <w:rsid w:val="00AE2554"/>
    <w:rsid w:val="00AE26E3"/>
    <w:rsid w:val="00AF0547"/>
    <w:rsid w:val="00AF26BD"/>
    <w:rsid w:val="00AF2B70"/>
    <w:rsid w:val="00AF2D7A"/>
    <w:rsid w:val="00B00EBD"/>
    <w:rsid w:val="00B020E3"/>
    <w:rsid w:val="00B073E3"/>
    <w:rsid w:val="00B10A46"/>
    <w:rsid w:val="00B14F53"/>
    <w:rsid w:val="00B171D8"/>
    <w:rsid w:val="00B203A3"/>
    <w:rsid w:val="00B213B6"/>
    <w:rsid w:val="00B30B41"/>
    <w:rsid w:val="00B32289"/>
    <w:rsid w:val="00B32D12"/>
    <w:rsid w:val="00B3427A"/>
    <w:rsid w:val="00B34AC5"/>
    <w:rsid w:val="00B37C4D"/>
    <w:rsid w:val="00B40C86"/>
    <w:rsid w:val="00B56EE9"/>
    <w:rsid w:val="00B662BD"/>
    <w:rsid w:val="00B70759"/>
    <w:rsid w:val="00B714DF"/>
    <w:rsid w:val="00B71D85"/>
    <w:rsid w:val="00B71DA7"/>
    <w:rsid w:val="00B72337"/>
    <w:rsid w:val="00B7456E"/>
    <w:rsid w:val="00B75A4B"/>
    <w:rsid w:val="00B80E25"/>
    <w:rsid w:val="00B84E62"/>
    <w:rsid w:val="00B92F70"/>
    <w:rsid w:val="00BA30B6"/>
    <w:rsid w:val="00BA4C88"/>
    <w:rsid w:val="00BA58D1"/>
    <w:rsid w:val="00BB69A7"/>
    <w:rsid w:val="00BB721D"/>
    <w:rsid w:val="00BC0F31"/>
    <w:rsid w:val="00BC5B50"/>
    <w:rsid w:val="00BD3858"/>
    <w:rsid w:val="00BE1068"/>
    <w:rsid w:val="00BF099B"/>
    <w:rsid w:val="00BF5284"/>
    <w:rsid w:val="00C03A61"/>
    <w:rsid w:val="00C12209"/>
    <w:rsid w:val="00C17269"/>
    <w:rsid w:val="00C23AF4"/>
    <w:rsid w:val="00C30753"/>
    <w:rsid w:val="00C32546"/>
    <w:rsid w:val="00C335E9"/>
    <w:rsid w:val="00C33984"/>
    <w:rsid w:val="00C36C01"/>
    <w:rsid w:val="00C402A3"/>
    <w:rsid w:val="00C402F7"/>
    <w:rsid w:val="00C5094B"/>
    <w:rsid w:val="00C6121C"/>
    <w:rsid w:val="00C61305"/>
    <w:rsid w:val="00C63F61"/>
    <w:rsid w:val="00C7064D"/>
    <w:rsid w:val="00C7235A"/>
    <w:rsid w:val="00C805B9"/>
    <w:rsid w:val="00C837A3"/>
    <w:rsid w:val="00C8511A"/>
    <w:rsid w:val="00C91E59"/>
    <w:rsid w:val="00C9454F"/>
    <w:rsid w:val="00C956D5"/>
    <w:rsid w:val="00CA5BA6"/>
    <w:rsid w:val="00CB111E"/>
    <w:rsid w:val="00CB4BF1"/>
    <w:rsid w:val="00CC2A39"/>
    <w:rsid w:val="00CD4AC2"/>
    <w:rsid w:val="00CE19E5"/>
    <w:rsid w:val="00CF1794"/>
    <w:rsid w:val="00CF7EDB"/>
    <w:rsid w:val="00D139DF"/>
    <w:rsid w:val="00D1509B"/>
    <w:rsid w:val="00D16840"/>
    <w:rsid w:val="00D31213"/>
    <w:rsid w:val="00D561EE"/>
    <w:rsid w:val="00D61C20"/>
    <w:rsid w:val="00D705E1"/>
    <w:rsid w:val="00D77718"/>
    <w:rsid w:val="00D87EC4"/>
    <w:rsid w:val="00D91378"/>
    <w:rsid w:val="00D92555"/>
    <w:rsid w:val="00D97362"/>
    <w:rsid w:val="00DA4A6D"/>
    <w:rsid w:val="00DA7445"/>
    <w:rsid w:val="00DB54D8"/>
    <w:rsid w:val="00DB5757"/>
    <w:rsid w:val="00DC4D42"/>
    <w:rsid w:val="00DC7F3E"/>
    <w:rsid w:val="00DD080A"/>
    <w:rsid w:val="00DD51D1"/>
    <w:rsid w:val="00DE0BBF"/>
    <w:rsid w:val="00DE3FDF"/>
    <w:rsid w:val="00DE5762"/>
    <w:rsid w:val="00DE7222"/>
    <w:rsid w:val="00E02B7E"/>
    <w:rsid w:val="00E06534"/>
    <w:rsid w:val="00E12EA6"/>
    <w:rsid w:val="00E159A6"/>
    <w:rsid w:val="00E172B6"/>
    <w:rsid w:val="00E2274D"/>
    <w:rsid w:val="00E33156"/>
    <w:rsid w:val="00E3611F"/>
    <w:rsid w:val="00E416B0"/>
    <w:rsid w:val="00E4342A"/>
    <w:rsid w:val="00E50802"/>
    <w:rsid w:val="00E54552"/>
    <w:rsid w:val="00E663A9"/>
    <w:rsid w:val="00E70298"/>
    <w:rsid w:val="00E73244"/>
    <w:rsid w:val="00E74B7B"/>
    <w:rsid w:val="00E74CCB"/>
    <w:rsid w:val="00E76458"/>
    <w:rsid w:val="00E76F2B"/>
    <w:rsid w:val="00E81A3A"/>
    <w:rsid w:val="00E821CF"/>
    <w:rsid w:val="00E83685"/>
    <w:rsid w:val="00E878C3"/>
    <w:rsid w:val="00E96583"/>
    <w:rsid w:val="00EA32A9"/>
    <w:rsid w:val="00EA32FB"/>
    <w:rsid w:val="00EA55F1"/>
    <w:rsid w:val="00EB2FE3"/>
    <w:rsid w:val="00EB5E9B"/>
    <w:rsid w:val="00EC19E1"/>
    <w:rsid w:val="00ED17CA"/>
    <w:rsid w:val="00EE36D3"/>
    <w:rsid w:val="00F02C52"/>
    <w:rsid w:val="00F04250"/>
    <w:rsid w:val="00F13CED"/>
    <w:rsid w:val="00F26339"/>
    <w:rsid w:val="00F26435"/>
    <w:rsid w:val="00F26692"/>
    <w:rsid w:val="00F27DE2"/>
    <w:rsid w:val="00F30DA8"/>
    <w:rsid w:val="00F3293D"/>
    <w:rsid w:val="00F3766D"/>
    <w:rsid w:val="00F428BE"/>
    <w:rsid w:val="00F50073"/>
    <w:rsid w:val="00F528C6"/>
    <w:rsid w:val="00F576A3"/>
    <w:rsid w:val="00F6419E"/>
    <w:rsid w:val="00F66727"/>
    <w:rsid w:val="00F70C3E"/>
    <w:rsid w:val="00F70D82"/>
    <w:rsid w:val="00F86020"/>
    <w:rsid w:val="00FA01C6"/>
    <w:rsid w:val="00FA0645"/>
    <w:rsid w:val="00FA7C62"/>
    <w:rsid w:val="00FB3BC1"/>
    <w:rsid w:val="00FB4CD9"/>
    <w:rsid w:val="00FB7D81"/>
    <w:rsid w:val="00FB7E08"/>
    <w:rsid w:val="00FD1FE2"/>
    <w:rsid w:val="00FD3EF7"/>
    <w:rsid w:val="00FD70DC"/>
    <w:rsid w:val="00FF0FE7"/>
    <w:rsid w:val="00FF11D0"/>
    <w:rsid w:val="00FF66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3D"/>
    <w:rPr>
      <w:sz w:val="24"/>
      <w:szCs w:val="24"/>
    </w:rPr>
  </w:style>
  <w:style w:type="paragraph" w:styleId="Balk1">
    <w:name w:val="heading 1"/>
    <w:basedOn w:val="Normal"/>
    <w:next w:val="Normal"/>
    <w:link w:val="Balk1Char"/>
    <w:uiPriority w:val="99"/>
    <w:qFormat/>
    <w:rsid w:val="007750EF"/>
    <w:pPr>
      <w:keepNext/>
      <w:tabs>
        <w:tab w:val="num" w:pos="432"/>
      </w:tabs>
      <w:suppressAutoHyphens/>
      <w:ind w:left="432" w:hanging="432"/>
      <w:jc w:val="center"/>
      <w:outlineLvl w:val="0"/>
    </w:pPr>
    <w:rPr>
      <w:rFonts w:ascii="Arial" w:hAnsi="Arial" w:cs="Arial"/>
      <w:b/>
      <w:bCs/>
      <w:sz w:val="18"/>
      <w:szCs w:val="18"/>
      <w:lang w:eastAsia="ar-SA"/>
    </w:rPr>
  </w:style>
  <w:style w:type="paragraph" w:styleId="Balk2">
    <w:name w:val="heading 2"/>
    <w:basedOn w:val="Normal"/>
    <w:next w:val="Normal"/>
    <w:link w:val="Balk2Char"/>
    <w:uiPriority w:val="99"/>
    <w:qFormat/>
    <w:rsid w:val="007750EF"/>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Balk3">
    <w:name w:val="heading 3"/>
    <w:basedOn w:val="Normal"/>
    <w:next w:val="Normal"/>
    <w:link w:val="Balk3Char"/>
    <w:uiPriority w:val="99"/>
    <w:qFormat/>
    <w:rsid w:val="007750EF"/>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6254"/>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246254"/>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246254"/>
    <w:rPr>
      <w:rFonts w:asciiTheme="majorHAnsi" w:eastAsiaTheme="majorEastAsia" w:hAnsiTheme="majorHAnsi" w:cstheme="majorBidi"/>
      <w:b/>
      <w:bCs/>
      <w:sz w:val="26"/>
      <w:szCs w:val="26"/>
    </w:rPr>
  </w:style>
  <w:style w:type="character" w:styleId="Kpr">
    <w:name w:val="Hyperlink"/>
    <w:basedOn w:val="VarsaylanParagrafYazTipi"/>
    <w:uiPriority w:val="99"/>
    <w:rsid w:val="001F0A81"/>
    <w:rPr>
      <w:color w:val="0000FF"/>
      <w:u w:val="single"/>
    </w:rPr>
  </w:style>
  <w:style w:type="paragraph" w:styleId="BelgeBalantlar">
    <w:name w:val="Document Map"/>
    <w:basedOn w:val="Normal"/>
    <w:link w:val="BelgeBalantlarChar"/>
    <w:uiPriority w:val="99"/>
    <w:semiHidden/>
    <w:rsid w:val="00C805B9"/>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uiPriority w:val="99"/>
    <w:semiHidden/>
    <w:rsid w:val="00246254"/>
    <w:rPr>
      <w:sz w:val="0"/>
      <w:szCs w:val="0"/>
    </w:rPr>
  </w:style>
  <w:style w:type="paragraph" w:styleId="Altbilgi">
    <w:name w:val="footer"/>
    <w:basedOn w:val="Normal"/>
    <w:link w:val="AltbilgiChar"/>
    <w:uiPriority w:val="99"/>
    <w:rsid w:val="00B72337"/>
    <w:pPr>
      <w:tabs>
        <w:tab w:val="center" w:pos="4536"/>
        <w:tab w:val="right" w:pos="9072"/>
      </w:tabs>
    </w:pPr>
  </w:style>
  <w:style w:type="character" w:customStyle="1" w:styleId="AltbilgiChar">
    <w:name w:val="Altbilgi Char"/>
    <w:basedOn w:val="VarsaylanParagrafYazTipi"/>
    <w:link w:val="Altbilgi"/>
    <w:uiPriority w:val="99"/>
    <w:semiHidden/>
    <w:rsid w:val="00246254"/>
    <w:rPr>
      <w:sz w:val="24"/>
      <w:szCs w:val="24"/>
    </w:rPr>
  </w:style>
  <w:style w:type="character" w:styleId="SayfaNumaras">
    <w:name w:val="page number"/>
    <w:basedOn w:val="VarsaylanParagrafYazTipi"/>
    <w:uiPriority w:val="99"/>
    <w:rsid w:val="00B72337"/>
  </w:style>
  <w:style w:type="paragraph" w:styleId="stbilgi">
    <w:name w:val="header"/>
    <w:basedOn w:val="Normal"/>
    <w:link w:val="stbilgiChar"/>
    <w:uiPriority w:val="99"/>
    <w:rsid w:val="00017426"/>
    <w:pPr>
      <w:tabs>
        <w:tab w:val="center" w:pos="4536"/>
        <w:tab w:val="right" w:pos="9072"/>
      </w:tabs>
    </w:pPr>
  </w:style>
  <w:style w:type="character" w:customStyle="1" w:styleId="stbilgiChar">
    <w:name w:val="Üstbilgi Char"/>
    <w:basedOn w:val="VarsaylanParagrafYazTipi"/>
    <w:link w:val="stbilgi"/>
    <w:uiPriority w:val="99"/>
    <w:semiHidden/>
    <w:rsid w:val="00246254"/>
    <w:rPr>
      <w:sz w:val="24"/>
      <w:szCs w:val="24"/>
    </w:rPr>
  </w:style>
  <w:style w:type="character" w:customStyle="1" w:styleId="EmailStyle261">
    <w:name w:val="E-postaStili26"/>
    <w:aliases w:val="E-postaStili26"/>
    <w:basedOn w:val="VarsaylanParagrafYazTipi"/>
    <w:uiPriority w:val="99"/>
    <w:semiHidden/>
    <w:personal/>
    <w:rsid w:val="005171AD"/>
    <w:rPr>
      <w:rFonts w:ascii="Arial" w:hAnsi="Arial" w:cs="Arial"/>
      <w:color w:val="auto"/>
      <w:sz w:val="20"/>
      <w:szCs w:val="20"/>
    </w:rPr>
  </w:style>
  <w:style w:type="paragraph" w:styleId="DipnotMetni">
    <w:name w:val="footnote text"/>
    <w:basedOn w:val="Normal"/>
    <w:link w:val="DipnotMetniChar"/>
    <w:uiPriority w:val="99"/>
    <w:semiHidden/>
    <w:rsid w:val="000C5C8B"/>
    <w:rPr>
      <w:sz w:val="20"/>
      <w:szCs w:val="20"/>
    </w:rPr>
  </w:style>
  <w:style w:type="character" w:customStyle="1" w:styleId="DipnotMetniChar">
    <w:name w:val="Dipnot Metni Char"/>
    <w:basedOn w:val="VarsaylanParagrafYazTipi"/>
    <w:link w:val="DipnotMetni"/>
    <w:uiPriority w:val="99"/>
    <w:semiHidden/>
    <w:rsid w:val="00246254"/>
    <w:rPr>
      <w:sz w:val="20"/>
      <w:szCs w:val="20"/>
    </w:rPr>
  </w:style>
  <w:style w:type="character" w:styleId="DipnotBavurusu">
    <w:name w:val="footnote reference"/>
    <w:basedOn w:val="VarsaylanParagrafYazTipi"/>
    <w:uiPriority w:val="99"/>
    <w:semiHidden/>
    <w:rsid w:val="000C5C8B"/>
    <w:rPr>
      <w:vertAlign w:val="superscript"/>
    </w:rPr>
  </w:style>
  <w:style w:type="paragraph" w:styleId="NormalWeb">
    <w:name w:val="Normal (Web)"/>
    <w:basedOn w:val="Normal"/>
    <w:uiPriority w:val="99"/>
    <w:rsid w:val="005F51ED"/>
    <w:pPr>
      <w:spacing w:before="100" w:beforeAutospacing="1" w:after="100" w:afterAutospacing="1"/>
    </w:pPr>
  </w:style>
  <w:style w:type="paragraph" w:styleId="BalonMetni">
    <w:name w:val="Balloon Text"/>
    <w:basedOn w:val="Normal"/>
    <w:link w:val="BalonMetniChar"/>
    <w:uiPriority w:val="99"/>
    <w:semiHidden/>
    <w:rsid w:val="00370430"/>
    <w:rPr>
      <w:rFonts w:ascii="Tahoma" w:hAnsi="Tahoma" w:cs="Tahoma"/>
      <w:sz w:val="16"/>
      <w:szCs w:val="16"/>
    </w:rPr>
  </w:style>
  <w:style w:type="character" w:customStyle="1" w:styleId="BalonMetniChar">
    <w:name w:val="Balon Metni Char"/>
    <w:basedOn w:val="VarsaylanParagrafYazTipi"/>
    <w:link w:val="BalonMetni"/>
    <w:uiPriority w:val="99"/>
    <w:semiHidden/>
    <w:rsid w:val="00246254"/>
    <w:rPr>
      <w:sz w:val="0"/>
      <w:szCs w:val="0"/>
    </w:rPr>
  </w:style>
</w:styles>
</file>

<file path=word/webSettings.xml><?xml version="1.0" encoding="utf-8"?>
<w:webSettings xmlns:r="http://schemas.openxmlformats.org/officeDocument/2006/relationships" xmlns:w="http://schemas.openxmlformats.org/wordprocessingml/2006/main">
  <w:divs>
    <w:div w:id="120610838">
      <w:marLeft w:val="0"/>
      <w:marRight w:val="0"/>
      <w:marTop w:val="0"/>
      <w:marBottom w:val="0"/>
      <w:divBdr>
        <w:top w:val="none" w:sz="0" w:space="0" w:color="auto"/>
        <w:left w:val="none" w:sz="0" w:space="0" w:color="auto"/>
        <w:bottom w:val="none" w:sz="0" w:space="0" w:color="auto"/>
        <w:right w:val="none" w:sz="0" w:space="0" w:color="auto"/>
      </w:divBdr>
    </w:div>
    <w:div w:id="120610839">
      <w:marLeft w:val="0"/>
      <w:marRight w:val="0"/>
      <w:marTop w:val="0"/>
      <w:marBottom w:val="0"/>
      <w:divBdr>
        <w:top w:val="none" w:sz="0" w:space="0" w:color="auto"/>
        <w:left w:val="none" w:sz="0" w:space="0" w:color="auto"/>
        <w:bottom w:val="none" w:sz="0" w:space="0" w:color="auto"/>
        <w:right w:val="none" w:sz="0" w:space="0" w:color="auto"/>
      </w:divBdr>
    </w:div>
    <w:div w:id="120610840">
      <w:marLeft w:val="0"/>
      <w:marRight w:val="0"/>
      <w:marTop w:val="0"/>
      <w:marBottom w:val="0"/>
      <w:divBdr>
        <w:top w:val="none" w:sz="0" w:space="0" w:color="auto"/>
        <w:left w:val="none" w:sz="0" w:space="0" w:color="auto"/>
        <w:bottom w:val="none" w:sz="0" w:space="0" w:color="auto"/>
        <w:right w:val="none" w:sz="0" w:space="0" w:color="auto"/>
      </w:divBdr>
    </w:div>
    <w:div w:id="120610841">
      <w:marLeft w:val="0"/>
      <w:marRight w:val="0"/>
      <w:marTop w:val="0"/>
      <w:marBottom w:val="0"/>
      <w:divBdr>
        <w:top w:val="none" w:sz="0" w:space="0" w:color="auto"/>
        <w:left w:val="none" w:sz="0" w:space="0" w:color="auto"/>
        <w:bottom w:val="none" w:sz="0" w:space="0" w:color="auto"/>
        <w:right w:val="none" w:sz="0" w:space="0" w:color="auto"/>
      </w:divBdr>
    </w:div>
    <w:div w:id="120610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F6F1D-022B-4E5D-BEFB-8D2A92B8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1573</Words>
  <Characters>8967</Characters>
  <Application>Microsoft Office Word</Application>
  <DocSecurity>0</DocSecurity>
  <Lines>74</Lines>
  <Paragraphs>21</Paragraphs>
  <ScaleCrop>false</ScaleCrop>
  <Company>unv</Company>
  <LinksUpToDate>false</LinksUpToDate>
  <CharactersWithSpaces>10519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baris.soybilgen</dc:creator>
  <cp:keywords/>
  <dc:description/>
  <cp:lastModifiedBy>merve.akgul</cp:lastModifiedBy>
  <cp:revision>3</cp:revision>
  <cp:lastPrinted>2012-07-02T10:17:00Z</cp:lastPrinted>
  <dcterms:created xsi:type="dcterms:W3CDTF">2012-09-10T10:01:00Z</dcterms:created>
  <dcterms:modified xsi:type="dcterms:W3CDTF">2012-09-10T10:23:00Z</dcterms:modified>
</cp:coreProperties>
</file>