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D3" w:rsidRDefault="00AC5A27" w:rsidP="001E4BF5">
      <w:pPr>
        <w:spacing w:line="360" w:lineRule="auto"/>
        <w:ind w:right="-319"/>
        <w:jc w:val="center"/>
        <w:outlineLvl w:val="0"/>
        <w:rPr>
          <w:rFonts w:ascii="Arial" w:hAnsi="Arial" w:cs="Arial"/>
          <w:b/>
          <w:bCs/>
          <w:sz w:val="32"/>
          <w:szCs w:val="32"/>
        </w:rPr>
      </w:pPr>
      <w:r>
        <w:rPr>
          <w:noProof/>
          <w:lang w:val="en-US" w:eastAsia="en-US"/>
        </w:rPr>
        <w:drawing>
          <wp:anchor distT="0" distB="0" distL="114300" distR="114300" simplePos="0" relativeHeight="251658240"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6858000" cy="1261745"/>
                    </a:xfrm>
                    <a:prstGeom prst="rect">
                      <a:avLst/>
                    </a:prstGeom>
                    <a:noFill/>
                  </pic:spPr>
                </pic:pic>
              </a:graphicData>
            </a:graphic>
          </wp:anchor>
        </w:drawing>
      </w:r>
      <w:r w:rsidR="0029480C" w:rsidRPr="0029480C">
        <w:rPr>
          <w:noProof/>
        </w:rPr>
        <w:pict>
          <v:shapetype id="_x0000_t202" coordsize="21600,21600" o:spt="202" path="m,l,21600r21600,l21600,xe">
            <v:stroke joinstyle="miter"/>
            <v:path gradientshapeok="t" o:connecttype="rect"/>
          </v:shapetype>
          <v:shape id="_x0000_s1027" type="#_x0000_t202" style="position:absolute;left:0;text-align:left;margin-left:117pt;margin-top:-45pt;width:312.1pt;height:44.8pt;z-index:251659264;mso-wrap-distance-left:9.05pt;mso-wrap-distance-right:9.05pt;mso-position-horizontal-relative:text;mso-position-vertical-relative:text" stroked="f">
            <v:fill opacity="0" color2="black"/>
            <v:textbox style="mso-next-textbox:#_x0000_s1027" inset="0,0,0,0">
              <w:txbxContent>
                <w:p w:rsidR="00054BD3" w:rsidRPr="00342E6B" w:rsidRDefault="00054BD3" w:rsidP="00024559">
                  <w:pPr>
                    <w:pStyle w:val="Heading1"/>
                    <w:rPr>
                      <w:rFonts w:ascii="Times New Roman" w:hAnsi="Times New Roman" w:cs="Times New Roman"/>
                      <w:sz w:val="40"/>
                      <w:szCs w:val="40"/>
                    </w:rPr>
                  </w:pPr>
                  <w:r>
                    <w:rPr>
                      <w:rFonts w:ascii="Times New Roman" w:hAnsi="Times New Roman" w:cs="Times New Roman"/>
                      <w:sz w:val="40"/>
                      <w:szCs w:val="40"/>
                    </w:rPr>
                    <w:t>Ekonomik Görünüm ve Tahminler: Nisan 2013</w:t>
                  </w:r>
                </w:p>
                <w:p w:rsidR="00054BD3" w:rsidRPr="00A75A46" w:rsidRDefault="00054BD3" w:rsidP="00024559">
                  <w:pPr>
                    <w:pStyle w:val="Heading2"/>
                    <w:rPr>
                      <w:b w:val="0"/>
                      <w:bCs w:val="0"/>
                      <w:i w:val="0"/>
                      <w:iCs w:val="0"/>
                      <w:lang w:val="nl-NL"/>
                    </w:rPr>
                  </w:pPr>
                </w:p>
              </w:txbxContent>
            </v:textbox>
          </v:shape>
        </w:pict>
      </w:r>
    </w:p>
    <w:p w:rsidR="00054BD3" w:rsidRDefault="0029480C" w:rsidP="001E4BF5">
      <w:pPr>
        <w:spacing w:line="360" w:lineRule="auto"/>
        <w:ind w:right="-319"/>
        <w:jc w:val="center"/>
        <w:outlineLvl w:val="0"/>
        <w:rPr>
          <w:rFonts w:ascii="Arial" w:hAnsi="Arial" w:cs="Arial"/>
          <w:b/>
          <w:bCs/>
          <w:sz w:val="32"/>
          <w:szCs w:val="32"/>
        </w:rPr>
      </w:pPr>
      <w:r w:rsidRPr="0029480C">
        <w:rPr>
          <w:noProof/>
        </w:rPr>
        <w:lastRenderedPageBreak/>
        <w:pict>
          <v:shape id="_x0000_s1028" type="#_x0000_t202" style="position:absolute;left:0;text-align:left;margin-left:158.3pt;margin-top:18pt;width:90.45pt;height:27.45pt;z-index:251660288;mso-wrap-distance-left:9.05pt;mso-wrap-distance-right:9.05pt" stroked="f">
            <v:fill opacity="0" color2="black"/>
            <v:textbox style="mso-next-textbox:#_x0000_s1028" inset="0,0,0,0">
              <w:txbxContent>
                <w:p w:rsidR="00054BD3" w:rsidRPr="0015586B" w:rsidRDefault="00054BD3" w:rsidP="00024559">
                  <w:pPr>
                    <w:pStyle w:val="Heading3"/>
                    <w:rPr>
                      <w:color w:val="FFFFFF"/>
                      <w:sz w:val="22"/>
                      <w:szCs w:val="22"/>
                      <w:lang w:val="tr-TR"/>
                    </w:rPr>
                  </w:pPr>
                  <w:r>
                    <w:rPr>
                      <w:color w:val="FFFFFF"/>
                      <w:sz w:val="22"/>
                      <w:szCs w:val="22"/>
                      <w:lang w:val="tr-TR"/>
                    </w:rPr>
                    <w:t xml:space="preserve">       11.04.2013</w:t>
                  </w:r>
                </w:p>
                <w:p w:rsidR="00054BD3" w:rsidRDefault="00054BD3" w:rsidP="00024559"/>
              </w:txbxContent>
            </v:textbox>
          </v:shape>
        </w:pict>
      </w:r>
    </w:p>
    <w:p w:rsidR="00054BD3" w:rsidRDefault="00054BD3" w:rsidP="001E4BF5">
      <w:pPr>
        <w:spacing w:line="360" w:lineRule="auto"/>
        <w:ind w:right="-319"/>
        <w:jc w:val="center"/>
        <w:outlineLvl w:val="0"/>
        <w:rPr>
          <w:rFonts w:ascii="Arial" w:hAnsi="Arial" w:cs="Arial"/>
          <w:b/>
          <w:bCs/>
          <w:sz w:val="32"/>
          <w:szCs w:val="32"/>
        </w:rPr>
        <w:sectPr w:rsidR="00054BD3" w:rsidSect="00357ECC">
          <w:footerReference w:type="default" r:id="rId8"/>
          <w:pgSz w:w="11906" w:h="16838"/>
          <w:pgMar w:top="1417" w:right="1417" w:bottom="1417" w:left="1417" w:header="708" w:footer="708" w:gutter="0"/>
          <w:cols w:num="2" w:space="708" w:equalWidth="0">
            <w:col w:w="4182" w:space="708"/>
            <w:col w:w="4182"/>
          </w:cols>
          <w:docGrid w:linePitch="360"/>
        </w:sectPr>
      </w:pPr>
    </w:p>
    <w:p w:rsidR="00054BD3" w:rsidRDefault="00054BD3" w:rsidP="001E4BF5">
      <w:pPr>
        <w:spacing w:line="360" w:lineRule="auto"/>
        <w:ind w:right="-319"/>
        <w:outlineLvl w:val="0"/>
        <w:rPr>
          <w:rFonts w:ascii="Arial" w:hAnsi="Arial" w:cs="Arial"/>
          <w:b/>
          <w:bCs/>
          <w:sz w:val="32"/>
          <w:szCs w:val="32"/>
        </w:rPr>
      </w:pPr>
    </w:p>
    <w:p w:rsidR="00054BD3" w:rsidRDefault="00054BD3" w:rsidP="00F83188">
      <w:pPr>
        <w:ind w:right="-317"/>
        <w:jc w:val="center"/>
        <w:outlineLvl w:val="0"/>
        <w:rPr>
          <w:rFonts w:ascii="Arial" w:hAnsi="Arial" w:cs="Arial"/>
          <w:b/>
          <w:bCs/>
          <w:caps/>
          <w:sz w:val="28"/>
          <w:szCs w:val="28"/>
        </w:rPr>
      </w:pPr>
      <w:r w:rsidRPr="00E6437E">
        <w:rPr>
          <w:rFonts w:ascii="Arial" w:hAnsi="Arial" w:cs="Arial"/>
          <w:b/>
          <w:bCs/>
          <w:caps/>
          <w:sz w:val="28"/>
          <w:szCs w:val="28"/>
        </w:rPr>
        <w:t>ekonomi canlanIYOR, cari açık artı</w:t>
      </w:r>
      <w:r>
        <w:rPr>
          <w:rFonts w:ascii="Arial" w:hAnsi="Arial" w:cs="Arial"/>
          <w:b/>
          <w:bCs/>
          <w:caps/>
          <w:sz w:val="28"/>
          <w:szCs w:val="28"/>
        </w:rPr>
        <w:t>YOR</w:t>
      </w:r>
    </w:p>
    <w:p w:rsidR="00226D50" w:rsidRPr="00D63675" w:rsidRDefault="00226D50" w:rsidP="00F83188">
      <w:pPr>
        <w:ind w:right="-317"/>
        <w:jc w:val="center"/>
        <w:outlineLvl w:val="0"/>
        <w:rPr>
          <w:rFonts w:ascii="Arial" w:hAnsi="Arial" w:cs="Arial"/>
          <w:b/>
          <w:bCs/>
          <w:caps/>
          <w:sz w:val="28"/>
          <w:szCs w:val="28"/>
        </w:rPr>
      </w:pPr>
    </w:p>
    <w:p w:rsidR="00054BD3" w:rsidRPr="00D63675" w:rsidRDefault="00054BD3" w:rsidP="00522063">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sidRPr="00D63675">
        <w:rPr>
          <w:rFonts w:ascii="Arial" w:hAnsi="Arial" w:cs="Arial"/>
          <w:b/>
          <w:bCs/>
          <w:sz w:val="21"/>
          <w:szCs w:val="21"/>
          <w:vertAlign w:val="superscript"/>
        </w:rPr>
        <w:t>†</w:t>
      </w:r>
    </w:p>
    <w:p w:rsidR="00054BD3" w:rsidRDefault="00054BD3" w:rsidP="00D837A8">
      <w:pPr>
        <w:spacing w:line="360" w:lineRule="auto"/>
        <w:ind w:right="-319"/>
        <w:jc w:val="center"/>
        <w:outlineLvl w:val="0"/>
        <w:rPr>
          <w:rFonts w:ascii="Arial" w:hAnsi="Arial" w:cs="Arial"/>
          <w:sz w:val="22"/>
          <w:szCs w:val="22"/>
          <w:vertAlign w:val="superscript"/>
        </w:rPr>
      </w:pPr>
    </w:p>
    <w:p w:rsidR="00054BD3" w:rsidRPr="004A7FE6" w:rsidRDefault="00054BD3" w:rsidP="00D837A8">
      <w:pPr>
        <w:spacing w:line="360" w:lineRule="auto"/>
        <w:ind w:right="-319"/>
        <w:jc w:val="center"/>
        <w:outlineLvl w:val="0"/>
        <w:rPr>
          <w:rFonts w:ascii="Arial" w:hAnsi="Arial" w:cs="Arial"/>
          <w:sz w:val="22"/>
          <w:szCs w:val="22"/>
          <w:vertAlign w:val="superscript"/>
        </w:rPr>
        <w:sectPr w:rsidR="00054BD3" w:rsidRPr="004A7FE6" w:rsidSect="008651A8">
          <w:type w:val="continuous"/>
          <w:pgSz w:w="11906" w:h="16838"/>
          <w:pgMar w:top="1417" w:right="1417" w:bottom="1417" w:left="1417" w:header="708" w:footer="708" w:gutter="0"/>
          <w:cols w:space="708"/>
          <w:docGrid w:linePitch="360"/>
        </w:sectPr>
      </w:pPr>
    </w:p>
    <w:p w:rsidR="00054BD3" w:rsidRDefault="00054BD3" w:rsidP="000B16FB">
      <w:pPr>
        <w:spacing w:line="360" w:lineRule="auto"/>
        <w:ind w:left="-360" w:right="42" w:firstLine="360"/>
        <w:jc w:val="center"/>
        <w:rPr>
          <w:b/>
          <w:bCs/>
          <w:sz w:val="22"/>
          <w:szCs w:val="22"/>
        </w:rPr>
      </w:pPr>
      <w:r w:rsidRPr="004A7FE6">
        <w:rPr>
          <w:b/>
          <w:bCs/>
          <w:sz w:val="22"/>
          <w:szCs w:val="22"/>
        </w:rPr>
        <w:lastRenderedPageBreak/>
        <w:t>Yönetici Özeti</w:t>
      </w:r>
    </w:p>
    <w:p w:rsidR="00054BD3" w:rsidRPr="00D97A66" w:rsidRDefault="00054BD3" w:rsidP="00C87E34">
      <w:pPr>
        <w:spacing w:line="360" w:lineRule="auto"/>
        <w:ind w:left="-360" w:right="42" w:firstLine="360"/>
        <w:jc w:val="center"/>
        <w:rPr>
          <w:b/>
          <w:bCs/>
          <w:sz w:val="14"/>
          <w:szCs w:val="14"/>
        </w:rPr>
      </w:pPr>
    </w:p>
    <w:p w:rsidR="00054BD3" w:rsidRDefault="00054BD3" w:rsidP="00C87E34">
      <w:pPr>
        <w:spacing w:line="360" w:lineRule="auto"/>
        <w:ind w:left="-360" w:right="40"/>
        <w:jc w:val="both"/>
        <w:rPr>
          <w:sz w:val="22"/>
          <w:szCs w:val="22"/>
        </w:rPr>
      </w:pPr>
      <w:r>
        <w:rPr>
          <w:sz w:val="22"/>
          <w:szCs w:val="22"/>
        </w:rPr>
        <w:t xml:space="preserve">Mevsim ve takvim etkisinden arındırılmış Sanayi Üretim Endeksi (SÜE) Şubat ayında bir önceki aya göre yüzde 1,5 arttı. İhracat miktar endeksi yüzde 5,1, ithalat miktar endeksi yüzde 2,6 oranında arttı. Şubat ayında sanayi üretiminde artışın devam etmesi çeyreklik bazda yatay olan görünümü yukarı doğru döndürdü. İhracatın toparlanması, ithalatın ise artmaya devam ederek iç talepte artışın sürdüğü sinyalini vermesi canlanmanın başlamış olabileceğine dair olumlu işaretler. Betam 2013 birinci çeyrek için büyüme tahminini çeyrekten çeyreğe yüzde 0,5’ten yüzde 0,7’ye çıkarttı. Bu tahmini takiben bir önceki yılın aynı dönemine göre birinci çeyrek büyüme oranını yüzde 2,4 olarak hesaplıyoruz. </w:t>
      </w:r>
    </w:p>
    <w:p w:rsidR="00054BD3" w:rsidRDefault="00054BD3" w:rsidP="00C87E34">
      <w:pPr>
        <w:spacing w:line="360" w:lineRule="auto"/>
        <w:ind w:left="-360" w:right="40"/>
        <w:jc w:val="both"/>
        <w:rPr>
          <w:sz w:val="22"/>
          <w:szCs w:val="22"/>
        </w:rPr>
      </w:pPr>
    </w:p>
    <w:p w:rsidR="00054BD3" w:rsidRDefault="00054BD3" w:rsidP="00C87E34">
      <w:pPr>
        <w:spacing w:line="360" w:lineRule="auto"/>
        <w:ind w:left="-360" w:right="40"/>
        <w:jc w:val="both"/>
        <w:rPr>
          <w:sz w:val="22"/>
          <w:szCs w:val="22"/>
        </w:rPr>
      </w:pPr>
      <w:r>
        <w:rPr>
          <w:sz w:val="22"/>
          <w:szCs w:val="22"/>
        </w:rPr>
        <w:t>Dış ticaret açığında Ocak ayında çok sınırlı bir artış gerçekleşmişti, Şubat ayında ise yaklaşık 1 milyar dolar artarak 6,9 milyar dolara yükseldi.  Bunu takiben cari açık da 5,1 milyar dolar oldu. Böylece 12 aylık cari açık toplamı 2011 Ekim ayından beri ilk defa Şubat ayında belirgin bir artışla 48,4 milyar dolara yükseldi. Betam 2012 yılı sonunda yüzde 6,0 olan cari açığın GSYH’a oranının birinci çeyrek sonunda yine aynı oranda kalacağını tahmin ediyor.</w:t>
      </w:r>
    </w:p>
    <w:p w:rsidR="00054BD3" w:rsidRDefault="0029480C" w:rsidP="007D3E0C">
      <w:pPr>
        <w:spacing w:line="288" w:lineRule="auto"/>
        <w:ind w:right="-318"/>
        <w:jc w:val="both"/>
        <w:rPr>
          <w:rFonts w:ascii="Arial" w:hAnsi="Arial" w:cs="Arial"/>
          <w:sz w:val="16"/>
          <w:szCs w:val="16"/>
        </w:rPr>
      </w:pPr>
      <w:r w:rsidRPr="0029480C">
        <w:rPr>
          <w:noProof/>
        </w:rPr>
        <w:pict>
          <v:line id="_x0000_s1029" style="position:absolute;left:0;text-align:left;z-index:251661312" from="-17.25pt,5.35pt" to="180.75pt,5.4pt"/>
        </w:pict>
      </w:r>
      <w:r w:rsidRPr="0029480C">
        <w:rPr>
          <w:rFonts w:ascii="Arial" w:hAnsi="Arial" w:cs="Arial"/>
          <w:sz w:val="16"/>
          <w:szCs w:val="16"/>
        </w:rPr>
      </w:r>
      <w:r>
        <w:rPr>
          <w:rFonts w:ascii="Arial" w:hAnsi="Arial" w:cs="Arial"/>
          <w:sz w:val="16"/>
          <w:szCs w:val="16"/>
        </w:rPr>
        <w:pict>
          <v:group id="_x0000_s1030"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39;top:332;width:6887;height:133" o:preferrelative="f">
              <v:fill o:detectmouseclick="t"/>
              <v:path o:extrusionok="t" o:connecttype="none"/>
              <o:lock v:ext="edit" text="t"/>
            </v:shape>
            <w10:wrap type="none"/>
            <w10:anchorlock/>
          </v:group>
        </w:pict>
      </w:r>
    </w:p>
    <w:p w:rsidR="00054BD3" w:rsidRPr="00C2696C" w:rsidRDefault="00054BD3" w:rsidP="007D3E0C">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054BD3" w:rsidRDefault="00054BD3" w:rsidP="007D3E0C">
      <w:pPr>
        <w:spacing w:line="288" w:lineRule="auto"/>
        <w:ind w:left="-360" w:right="-318"/>
        <w:jc w:val="both"/>
        <w:rPr>
          <w:rFonts w:ascii="Arial" w:hAnsi="Arial" w:cs="Arial"/>
          <w:sz w:val="16"/>
          <w:szCs w:val="16"/>
        </w:rPr>
      </w:pPr>
      <w:r w:rsidRPr="00C2696C">
        <w:rPr>
          <w:rFonts w:ascii="Arial" w:hAnsi="Arial" w:cs="Arial"/>
          <w:sz w:val="16"/>
          <w:szCs w:val="16"/>
        </w:rPr>
        <w:t xml:space="preserve">  </w:t>
      </w:r>
      <w:hyperlink r:id="rId9" w:history="1">
        <w:r w:rsidRPr="005E1D9A">
          <w:rPr>
            <w:rStyle w:val="Hyperlink"/>
            <w:rFonts w:ascii="Arial" w:hAnsi="Arial" w:cs="Arial"/>
            <w:sz w:val="16"/>
            <w:szCs w:val="16"/>
          </w:rPr>
          <w:t>zumrut.imamoglu@bahcesehir.edu.tr</w:t>
        </w:r>
      </w:hyperlink>
    </w:p>
    <w:p w:rsidR="00054BD3" w:rsidRPr="00C2696C" w:rsidRDefault="00054BD3" w:rsidP="007D3E0C">
      <w:pPr>
        <w:spacing w:line="288" w:lineRule="auto"/>
        <w:ind w:left="-360" w:right="-318"/>
        <w:jc w:val="both"/>
        <w:rPr>
          <w:rFonts w:ascii="Arial" w:hAnsi="Arial" w:cs="Arial"/>
          <w:sz w:val="16"/>
          <w:szCs w:val="16"/>
        </w:rPr>
      </w:pPr>
      <w:r w:rsidRPr="00C2696C">
        <w:rPr>
          <w:rFonts w:ascii="Arial" w:hAnsi="Arial" w:cs="Arial"/>
          <w:sz w:val="16"/>
          <w:szCs w:val="16"/>
          <w:vertAlign w:val="superscript"/>
        </w:rPr>
        <w:t xml:space="preserve">† </w:t>
      </w:r>
      <w:r w:rsidRPr="00C2696C">
        <w:rPr>
          <w:rFonts w:ascii="Arial" w:hAnsi="Arial" w:cs="Arial"/>
          <w:sz w:val="16"/>
          <w:szCs w:val="16"/>
        </w:rPr>
        <w:t>Barış Soybilgen, Betam, Araştırma Görevlisi</w:t>
      </w:r>
    </w:p>
    <w:p w:rsidR="00054BD3" w:rsidRDefault="00054BD3" w:rsidP="007D3E0C">
      <w:pPr>
        <w:ind w:left="-360"/>
        <w:rPr>
          <w:rFonts w:ascii="Arial" w:hAnsi="Arial" w:cs="Arial"/>
          <w:sz w:val="16"/>
          <w:szCs w:val="16"/>
        </w:rPr>
      </w:pPr>
      <w:r w:rsidRPr="00970E4E">
        <w:rPr>
          <w:sz w:val="16"/>
          <w:szCs w:val="16"/>
        </w:rPr>
        <w:t xml:space="preserve">  </w:t>
      </w:r>
      <w:hyperlink r:id="rId10" w:history="1">
        <w:r w:rsidRPr="005E1D9A">
          <w:rPr>
            <w:rStyle w:val="Hyperlink"/>
            <w:rFonts w:ascii="Arial" w:hAnsi="Arial" w:cs="Arial"/>
            <w:sz w:val="16"/>
            <w:szCs w:val="16"/>
          </w:rPr>
          <w:t>baris.soybilgen@bahcesehir.edu.tr</w:t>
        </w:r>
      </w:hyperlink>
    </w:p>
    <w:p w:rsidR="00054BD3" w:rsidRDefault="00054BD3" w:rsidP="007D3E0C">
      <w:pPr>
        <w:ind w:right="42"/>
        <w:rPr>
          <w:b/>
          <w:bCs/>
          <w:sz w:val="22"/>
          <w:szCs w:val="22"/>
        </w:rPr>
      </w:pPr>
    </w:p>
    <w:p w:rsidR="00054BD3" w:rsidRPr="004A7FE6" w:rsidRDefault="00054BD3" w:rsidP="000B16FB">
      <w:pPr>
        <w:outlineLvl w:val="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’ın GSYH ve Cari Açık Tahminleri</w:t>
      </w:r>
    </w:p>
    <w:tbl>
      <w:tblPr>
        <w:tblpPr w:leftFromText="141" w:rightFromText="141" w:vertAnchor="text" w:horzAnchor="margin" w:tblpXSpec="right" w:tblpY="129"/>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8"/>
        <w:gridCol w:w="1362"/>
      </w:tblGrid>
      <w:tr w:rsidR="00054BD3" w:rsidRPr="003118F7">
        <w:trPr>
          <w:trHeight w:val="986"/>
        </w:trPr>
        <w:tc>
          <w:tcPr>
            <w:tcW w:w="3268" w:type="dxa"/>
            <w:tcMar>
              <w:left w:w="28" w:type="dxa"/>
              <w:right w:w="28" w:type="dxa"/>
            </w:tcMar>
            <w:vAlign w:val="center"/>
          </w:tcPr>
          <w:p w:rsidR="00054BD3" w:rsidRPr="003118F7" w:rsidRDefault="00054BD3" w:rsidP="00B95B43">
            <w:pPr>
              <w:ind w:right="42"/>
              <w:jc w:val="center"/>
              <w:rPr>
                <w:sz w:val="20"/>
                <w:szCs w:val="20"/>
              </w:rPr>
            </w:pPr>
          </w:p>
        </w:tc>
        <w:tc>
          <w:tcPr>
            <w:tcW w:w="1362" w:type="dxa"/>
            <w:vAlign w:val="center"/>
          </w:tcPr>
          <w:p w:rsidR="00054BD3" w:rsidRPr="003118F7" w:rsidRDefault="00054BD3" w:rsidP="00B95B43">
            <w:pPr>
              <w:ind w:right="40"/>
              <w:jc w:val="center"/>
              <w:rPr>
                <w:b/>
                <w:bCs/>
                <w:sz w:val="20"/>
                <w:szCs w:val="20"/>
              </w:rPr>
            </w:pPr>
            <w:r>
              <w:rPr>
                <w:b/>
                <w:bCs/>
                <w:sz w:val="20"/>
                <w:szCs w:val="20"/>
              </w:rPr>
              <w:t>2013</w:t>
            </w:r>
          </w:p>
          <w:p w:rsidR="00054BD3" w:rsidRPr="003118F7" w:rsidRDefault="00054BD3" w:rsidP="00B95B43">
            <w:pPr>
              <w:ind w:right="40"/>
              <w:jc w:val="center"/>
              <w:rPr>
                <w:b/>
                <w:bCs/>
                <w:sz w:val="20"/>
                <w:szCs w:val="20"/>
              </w:rPr>
            </w:pPr>
            <w:r>
              <w:rPr>
                <w:b/>
                <w:bCs/>
                <w:sz w:val="20"/>
                <w:szCs w:val="20"/>
              </w:rPr>
              <w:t>1</w:t>
            </w:r>
            <w:r w:rsidRPr="003118F7">
              <w:rPr>
                <w:b/>
                <w:bCs/>
                <w:sz w:val="20"/>
                <w:szCs w:val="20"/>
              </w:rPr>
              <w:t>. Çeyrek</w:t>
            </w:r>
          </w:p>
          <w:p w:rsidR="00054BD3" w:rsidRPr="003118F7" w:rsidRDefault="00054BD3" w:rsidP="00B95B43">
            <w:pPr>
              <w:ind w:right="40"/>
              <w:jc w:val="center"/>
              <w:rPr>
                <w:b/>
                <w:bCs/>
                <w:sz w:val="20"/>
                <w:szCs w:val="20"/>
              </w:rPr>
            </w:pPr>
            <w:r w:rsidRPr="003118F7">
              <w:rPr>
                <w:b/>
                <w:bCs/>
                <w:sz w:val="20"/>
                <w:szCs w:val="20"/>
              </w:rPr>
              <w:t>Tahmin</w:t>
            </w:r>
          </w:p>
        </w:tc>
      </w:tr>
      <w:tr w:rsidR="00054BD3" w:rsidRPr="003118F7">
        <w:trPr>
          <w:trHeight w:val="771"/>
        </w:trPr>
        <w:tc>
          <w:tcPr>
            <w:tcW w:w="3268" w:type="dxa"/>
            <w:tcMar>
              <w:left w:w="28" w:type="dxa"/>
              <w:right w:w="28" w:type="dxa"/>
            </w:tcMar>
            <w:vAlign w:val="center"/>
          </w:tcPr>
          <w:p w:rsidR="00054BD3" w:rsidRPr="003118F7" w:rsidRDefault="00054BD3" w:rsidP="00B95B43">
            <w:pPr>
              <w:ind w:right="42"/>
              <w:rPr>
                <w:sz w:val="20"/>
                <w:szCs w:val="20"/>
              </w:rPr>
            </w:pPr>
            <w:r w:rsidRPr="003118F7">
              <w:rPr>
                <w:sz w:val="20"/>
                <w:szCs w:val="20"/>
              </w:rPr>
              <w:t>GSYH büyüme, reel</w:t>
            </w:r>
          </w:p>
          <w:p w:rsidR="00054BD3" w:rsidRPr="003118F7" w:rsidRDefault="00054BD3" w:rsidP="00B95B43">
            <w:pPr>
              <w:ind w:right="42"/>
              <w:rPr>
                <w:sz w:val="20"/>
                <w:szCs w:val="20"/>
              </w:rPr>
            </w:pPr>
            <w:r w:rsidRPr="003118F7">
              <w:rPr>
                <w:sz w:val="20"/>
                <w:szCs w:val="20"/>
              </w:rPr>
              <w:t>(bir önceki çeyreğe göre, mea*)</w:t>
            </w:r>
          </w:p>
        </w:tc>
        <w:tc>
          <w:tcPr>
            <w:tcW w:w="1362" w:type="dxa"/>
            <w:vAlign w:val="center"/>
          </w:tcPr>
          <w:p w:rsidR="00054BD3" w:rsidRPr="003118F7" w:rsidRDefault="00054BD3" w:rsidP="00B95B43">
            <w:pPr>
              <w:ind w:right="42"/>
              <w:jc w:val="center"/>
              <w:rPr>
                <w:sz w:val="20"/>
                <w:szCs w:val="20"/>
              </w:rPr>
            </w:pPr>
            <w:r>
              <w:rPr>
                <w:sz w:val="20"/>
                <w:szCs w:val="20"/>
              </w:rPr>
              <w:t>0,7</w:t>
            </w:r>
          </w:p>
        </w:tc>
      </w:tr>
      <w:tr w:rsidR="00054BD3" w:rsidRPr="003118F7">
        <w:trPr>
          <w:trHeight w:val="756"/>
        </w:trPr>
        <w:tc>
          <w:tcPr>
            <w:tcW w:w="3268" w:type="dxa"/>
            <w:tcMar>
              <w:left w:w="28" w:type="dxa"/>
              <w:right w:w="28" w:type="dxa"/>
            </w:tcMar>
            <w:vAlign w:val="center"/>
          </w:tcPr>
          <w:p w:rsidR="00054BD3" w:rsidRPr="003118F7" w:rsidRDefault="00054BD3" w:rsidP="00B95B43">
            <w:pPr>
              <w:ind w:right="42"/>
              <w:rPr>
                <w:sz w:val="20"/>
                <w:szCs w:val="20"/>
              </w:rPr>
            </w:pPr>
            <w:r w:rsidRPr="003118F7">
              <w:rPr>
                <w:sz w:val="20"/>
                <w:szCs w:val="20"/>
              </w:rPr>
              <w:t>GSYH büyüme, reel (geçen yılın aynı çeyreğine göre, tea**)</w:t>
            </w:r>
          </w:p>
        </w:tc>
        <w:tc>
          <w:tcPr>
            <w:tcW w:w="1362" w:type="dxa"/>
            <w:vAlign w:val="center"/>
          </w:tcPr>
          <w:p w:rsidR="00054BD3" w:rsidRPr="003118F7" w:rsidRDefault="00054BD3" w:rsidP="00B95B43">
            <w:pPr>
              <w:ind w:right="42"/>
              <w:jc w:val="center"/>
              <w:rPr>
                <w:sz w:val="20"/>
                <w:szCs w:val="20"/>
              </w:rPr>
            </w:pPr>
            <w:r>
              <w:rPr>
                <w:sz w:val="20"/>
                <w:szCs w:val="20"/>
              </w:rPr>
              <w:t>2,4</w:t>
            </w:r>
          </w:p>
        </w:tc>
      </w:tr>
      <w:tr w:rsidR="00054BD3" w:rsidRPr="003118F7">
        <w:trPr>
          <w:trHeight w:val="583"/>
        </w:trPr>
        <w:tc>
          <w:tcPr>
            <w:tcW w:w="3268" w:type="dxa"/>
            <w:tcMar>
              <w:left w:w="28" w:type="dxa"/>
              <w:right w:w="28" w:type="dxa"/>
            </w:tcMar>
            <w:vAlign w:val="center"/>
          </w:tcPr>
          <w:p w:rsidR="00054BD3" w:rsidRPr="003118F7" w:rsidRDefault="00054BD3" w:rsidP="00B95B43">
            <w:pPr>
              <w:ind w:right="40"/>
              <w:rPr>
                <w:sz w:val="20"/>
                <w:szCs w:val="20"/>
              </w:rPr>
            </w:pPr>
            <w:r w:rsidRPr="003118F7">
              <w:rPr>
                <w:sz w:val="20"/>
                <w:szCs w:val="20"/>
              </w:rPr>
              <w:t>Cari Açık (yıllık)</w:t>
            </w:r>
          </w:p>
        </w:tc>
        <w:tc>
          <w:tcPr>
            <w:tcW w:w="1362" w:type="dxa"/>
            <w:vAlign w:val="center"/>
          </w:tcPr>
          <w:p w:rsidR="00054BD3" w:rsidRPr="003118F7" w:rsidRDefault="00054BD3" w:rsidP="00B95B43">
            <w:pPr>
              <w:ind w:right="40"/>
              <w:jc w:val="center"/>
              <w:rPr>
                <w:sz w:val="20"/>
                <w:szCs w:val="20"/>
              </w:rPr>
            </w:pPr>
            <w:r>
              <w:rPr>
                <w:sz w:val="20"/>
                <w:szCs w:val="20"/>
              </w:rPr>
              <w:t>6.0</w:t>
            </w:r>
          </w:p>
        </w:tc>
      </w:tr>
    </w:tbl>
    <w:p w:rsidR="00054BD3" w:rsidRPr="0070556E" w:rsidRDefault="00054BD3" w:rsidP="00C87E34">
      <w:pPr>
        <w:ind w:left="-360" w:right="40"/>
        <w:rPr>
          <w:sz w:val="4"/>
          <w:szCs w:val="4"/>
        </w:rPr>
      </w:pPr>
    </w:p>
    <w:p w:rsidR="00054BD3" w:rsidRPr="00C674EC" w:rsidRDefault="00054BD3" w:rsidP="00C87E34">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054BD3" w:rsidRDefault="00054BD3" w:rsidP="00C87E34">
      <w:pPr>
        <w:spacing w:line="360" w:lineRule="auto"/>
        <w:ind w:left="-360" w:right="42"/>
        <w:rPr>
          <w:b/>
          <w:bCs/>
          <w:sz w:val="22"/>
          <w:szCs w:val="22"/>
        </w:rPr>
      </w:pPr>
    </w:p>
    <w:p w:rsidR="00054BD3" w:rsidRDefault="00054BD3" w:rsidP="00C87E34">
      <w:pPr>
        <w:ind w:left="-360"/>
        <w:rPr>
          <w:rFonts w:ascii="Arial" w:hAnsi="Arial" w:cs="Arial"/>
          <w:sz w:val="16"/>
          <w:szCs w:val="16"/>
        </w:rPr>
      </w:pPr>
    </w:p>
    <w:p w:rsidR="00054BD3" w:rsidRDefault="00054BD3" w:rsidP="00C87E34">
      <w:pPr>
        <w:ind w:left="-360"/>
        <w:jc w:val="center"/>
        <w:rPr>
          <w:b/>
          <w:bCs/>
          <w:sz w:val="22"/>
          <w:szCs w:val="22"/>
        </w:rPr>
      </w:pPr>
      <w:r>
        <w:rPr>
          <w:b/>
          <w:bCs/>
          <w:sz w:val="22"/>
          <w:szCs w:val="22"/>
        </w:rPr>
        <w:t>Canlanmanın ilk net işareti</w:t>
      </w:r>
    </w:p>
    <w:p w:rsidR="00054BD3" w:rsidRDefault="00054BD3" w:rsidP="00C87E34">
      <w:pPr>
        <w:spacing w:line="360" w:lineRule="auto"/>
        <w:ind w:left="-360" w:right="42"/>
        <w:jc w:val="both"/>
        <w:rPr>
          <w:sz w:val="22"/>
          <w:szCs w:val="22"/>
        </w:rPr>
      </w:pPr>
    </w:p>
    <w:p w:rsidR="00054BD3" w:rsidRDefault="00054BD3" w:rsidP="00C87E34">
      <w:pPr>
        <w:spacing w:line="360" w:lineRule="auto"/>
        <w:ind w:left="-360" w:right="42"/>
        <w:jc w:val="both"/>
        <w:rPr>
          <w:sz w:val="22"/>
          <w:szCs w:val="22"/>
        </w:rPr>
      </w:pPr>
      <w:r>
        <w:rPr>
          <w:sz w:val="22"/>
          <w:szCs w:val="22"/>
        </w:rPr>
        <w:t xml:space="preserve">Sanayi Üretim Endeksi Şubat ayında güçlü bir artış gösterdi. Geçtiğimiz senenin Mayıs ayından beri ilk defa Sanayi Üretiminde takvim etkilerinden arındırılmış yıllık artış yüzde 4’ün üzerinde gerçekleşti (Şekil 5). Böylece endeks Aralık ayındaki düşüşü de telafi etmiş oldu. Ocak ve Şubat ortalamasına göre endeks yıllık bazda yüzde 3,2, çeyreklik bazda yüzde 1,1 artmış durumda. Mart ayı sanayi üretimi rakamı birinci çeyrek büyümesi açısından kritik öneme sahip. Artış güçlü bir şekilde devam ederse ekonomide canlanma teyit edilmiş olacak. </w:t>
      </w:r>
    </w:p>
    <w:p w:rsidR="00054BD3" w:rsidRDefault="00054BD3" w:rsidP="00C87E34">
      <w:pPr>
        <w:spacing w:line="360" w:lineRule="auto"/>
        <w:ind w:left="-360" w:right="42"/>
        <w:jc w:val="both"/>
        <w:rPr>
          <w:sz w:val="22"/>
          <w:szCs w:val="22"/>
        </w:rPr>
      </w:pPr>
    </w:p>
    <w:p w:rsidR="00054BD3" w:rsidRDefault="00054BD3" w:rsidP="00C87E34">
      <w:pPr>
        <w:spacing w:line="360" w:lineRule="auto"/>
        <w:ind w:left="-360" w:right="42"/>
        <w:jc w:val="both"/>
        <w:rPr>
          <w:sz w:val="22"/>
          <w:szCs w:val="22"/>
        </w:rPr>
      </w:pPr>
      <w:r>
        <w:rPr>
          <w:sz w:val="22"/>
          <w:szCs w:val="22"/>
        </w:rPr>
        <w:t xml:space="preserve">Ancak canlanmanın bir bedeli var. Ocak ayında yaklaşık bir buçuk senedir azalmakta olan 12 aylık toplam cari açıkta azalma durdu ve Şubat ayında </w:t>
      </w:r>
      <w:r>
        <w:rPr>
          <w:sz w:val="22"/>
          <w:szCs w:val="22"/>
        </w:rPr>
        <w:lastRenderedPageBreak/>
        <w:t>cari açık Ekim 2011’den bu yana ilk kez artış gösterdi. Bir kez daha görüyoruz ki Türkiye’de büyüme ve dış açık arasındaki güçlü ilişki devam etmekte. Bu ilişki yapısal olarak değişmediği sürece Türkiye’nin iç talep ve net dış talebin dengelendiği, diğer bir deyişle hem iç talebin hem de net dış talebin büyümeye pozitif katkı yaptığı, bir rejimde büyümesi mümkün gözükmüyor.</w:t>
      </w:r>
    </w:p>
    <w:p w:rsidR="00054BD3" w:rsidRDefault="00054BD3" w:rsidP="00C87E34">
      <w:pPr>
        <w:spacing w:line="360" w:lineRule="auto"/>
        <w:ind w:left="-360" w:right="42"/>
        <w:jc w:val="both"/>
        <w:rPr>
          <w:sz w:val="22"/>
          <w:szCs w:val="22"/>
        </w:rPr>
      </w:pPr>
    </w:p>
    <w:p w:rsidR="00054BD3" w:rsidRDefault="00054BD3" w:rsidP="00C87E34">
      <w:pPr>
        <w:spacing w:line="360" w:lineRule="auto"/>
        <w:ind w:left="-360" w:right="42"/>
        <w:jc w:val="both"/>
        <w:rPr>
          <w:sz w:val="22"/>
          <w:szCs w:val="22"/>
        </w:rPr>
      </w:pPr>
      <w:r>
        <w:rPr>
          <w:sz w:val="22"/>
          <w:szCs w:val="22"/>
        </w:rPr>
        <w:t>Nitekim ithalat Ocak ayındaki güçlü artışı takiben Şubat’ta da artmaya devam etti. İlk iki ayda ithalat miktar endeksi bir önceki çeyreğe göre yüzde 4,3 arttı. Buna kıyasla ihracat, Şubat ayındaki toparlanmaya rağmen, aynı dönemde yüzde 2,3 oranında azaldı. Altın ticareti bu dönemde çok önemli yer tutmasa da altın hariç rakamlara bakıldığında da sonuç fazla değişmiyor. Mart ayında ithalatta artış devam ederse net dış talep ilk çeyrekte büyümeye negatif katkı yapacak gibi görünüyor.</w:t>
      </w:r>
    </w:p>
    <w:p w:rsidR="00054BD3" w:rsidRDefault="00054BD3" w:rsidP="00C87E34">
      <w:pPr>
        <w:spacing w:line="360" w:lineRule="auto"/>
        <w:ind w:left="-360" w:right="42"/>
        <w:jc w:val="both"/>
        <w:rPr>
          <w:sz w:val="22"/>
          <w:szCs w:val="22"/>
        </w:rPr>
      </w:pPr>
    </w:p>
    <w:p w:rsidR="00054BD3" w:rsidRDefault="00054BD3" w:rsidP="00C87E34">
      <w:pPr>
        <w:spacing w:line="360" w:lineRule="auto"/>
        <w:ind w:left="-360" w:right="42"/>
        <w:jc w:val="both"/>
        <w:rPr>
          <w:sz w:val="22"/>
          <w:szCs w:val="22"/>
        </w:rPr>
      </w:pPr>
      <w:r>
        <w:rPr>
          <w:sz w:val="22"/>
          <w:szCs w:val="22"/>
        </w:rPr>
        <w:t>Öte yandan canlanmaya dair diğer işaretler hala karışık. Aramalı ve yatırım malı ithalatındaki artışlar canlanma için ümit vermeye devam ediyor. Hem yatırım malı imalatı hem de Reel Kesim Güven Endeksi’nde Ocak ve Şubat aylarında artış var. Ancak dayanıksız tüketim malı imalatı Şubat ayında artmış olsa da çeyreklik bazda azalmaya devam ediyor. Tüketici Güven Endeksi’nde de Şubat ve Mart aylarında düşüş gözlemlendi.</w:t>
      </w:r>
    </w:p>
    <w:p w:rsidR="00054BD3" w:rsidRDefault="00054BD3" w:rsidP="00C87E34">
      <w:pPr>
        <w:spacing w:line="360" w:lineRule="auto"/>
        <w:ind w:left="-360" w:right="42"/>
        <w:jc w:val="both"/>
        <w:rPr>
          <w:sz w:val="22"/>
          <w:szCs w:val="22"/>
        </w:rPr>
      </w:pPr>
    </w:p>
    <w:p w:rsidR="00054BD3" w:rsidRDefault="00054BD3" w:rsidP="00C87E34">
      <w:pPr>
        <w:spacing w:line="360" w:lineRule="auto"/>
        <w:ind w:left="-360" w:right="42"/>
        <w:jc w:val="both"/>
        <w:rPr>
          <w:sz w:val="22"/>
          <w:szCs w:val="22"/>
        </w:rPr>
      </w:pPr>
      <w:r>
        <w:rPr>
          <w:sz w:val="22"/>
          <w:szCs w:val="22"/>
        </w:rPr>
        <w:t xml:space="preserve">Göstergelerden karışık sinyaller gelmeye devam etse de Şubat ayında gerek ihracat gerekse sanayi üretimindeki artışları büyüme açısından olumlu buluyoruz. Betam birinci çeyrek için büyüme tahminini çeyrekten çeyreğe yüzde 0,5’ten yüzde 0,7’ye çıkarttı. Buna paralel olarak geçen yılın </w:t>
      </w:r>
      <w:r>
        <w:rPr>
          <w:sz w:val="22"/>
          <w:szCs w:val="22"/>
        </w:rPr>
        <w:lastRenderedPageBreak/>
        <w:t>aynı çeyreğine göre büyümeyi yüzde 2,4 olarak hesaplıyoruz. Cari açık tahminimiz ise birinci çeyrek sonu için yüzde 6</w:t>
      </w:r>
      <w:r w:rsidR="00670A74">
        <w:rPr>
          <w:sz w:val="22"/>
          <w:szCs w:val="22"/>
        </w:rPr>
        <w:t>,0</w:t>
      </w:r>
      <w:r>
        <w:rPr>
          <w:sz w:val="22"/>
          <w:szCs w:val="22"/>
        </w:rPr>
        <w:t xml:space="preserve"> düzeyinde.</w:t>
      </w:r>
    </w:p>
    <w:p w:rsidR="00054BD3" w:rsidRDefault="00054BD3" w:rsidP="00B33409">
      <w:pPr>
        <w:ind w:left="-360"/>
        <w:jc w:val="center"/>
        <w:rPr>
          <w:b/>
          <w:bCs/>
          <w:sz w:val="22"/>
          <w:szCs w:val="22"/>
        </w:rPr>
      </w:pPr>
    </w:p>
    <w:p w:rsidR="00054BD3" w:rsidRDefault="00054BD3" w:rsidP="007D3E0C">
      <w:pPr>
        <w:spacing w:line="360" w:lineRule="auto"/>
        <w:ind w:left="-360" w:right="42"/>
        <w:jc w:val="center"/>
        <w:rPr>
          <w:b/>
          <w:bCs/>
          <w:sz w:val="22"/>
          <w:szCs w:val="22"/>
        </w:rPr>
      </w:pPr>
      <w:r>
        <w:rPr>
          <w:b/>
          <w:bCs/>
          <w:sz w:val="22"/>
          <w:szCs w:val="22"/>
        </w:rPr>
        <w:t>Özel tüketimde sınırlı artış</w:t>
      </w:r>
    </w:p>
    <w:p w:rsidR="00054BD3" w:rsidRDefault="00054BD3" w:rsidP="00801F91">
      <w:pPr>
        <w:spacing w:line="360" w:lineRule="auto"/>
        <w:ind w:left="-360" w:right="42"/>
        <w:jc w:val="center"/>
        <w:rPr>
          <w:b/>
          <w:bCs/>
          <w:sz w:val="22"/>
          <w:szCs w:val="22"/>
        </w:rPr>
      </w:pPr>
    </w:p>
    <w:p w:rsidR="00054BD3" w:rsidRPr="003F6C96" w:rsidRDefault="00054BD3" w:rsidP="003F6C96">
      <w:pPr>
        <w:spacing w:line="360" w:lineRule="auto"/>
        <w:ind w:left="-360" w:right="42"/>
        <w:jc w:val="both"/>
        <w:rPr>
          <w:sz w:val="22"/>
          <w:szCs w:val="22"/>
        </w:rPr>
      </w:pPr>
      <w:r>
        <w:rPr>
          <w:sz w:val="22"/>
          <w:szCs w:val="22"/>
        </w:rPr>
        <w:t xml:space="preserve">Tüketim malı ithalatı ve dayanıksız tüketim malı imalatı sırasıyla Şubat ayında bir önceki aya göre sırasıyla yüzde 6,8 ve yüzde 0,5 arttı. Dayanıklı tüketim malı da Aralık ve Ocak ayındaki düşüşün ardından Şubat ayında biraz toparlandı ve yüzde 3,2 arttı. Tüketici güven endeksi hem Şubat hem Mart ayında sırasıyla yüzde 0,2 ve yüzde 1,4 azaldı, ama hala 4. çeyrekteki seviyesinin üstünde. Elimizdeki ekonomik göstergelere baktığımızda özel tüketim harcamalarının 2013’ün 1. çeyreğinde GSYH’a pozitif katkı yapmasını bekliyoruz. </w:t>
      </w:r>
    </w:p>
    <w:p w:rsidR="00054BD3" w:rsidRDefault="00054BD3" w:rsidP="00801F91">
      <w:pPr>
        <w:spacing w:line="360" w:lineRule="auto"/>
        <w:ind w:left="-360" w:right="42"/>
        <w:jc w:val="center"/>
        <w:rPr>
          <w:b/>
          <w:bCs/>
          <w:sz w:val="22"/>
          <w:szCs w:val="22"/>
        </w:rPr>
      </w:pPr>
    </w:p>
    <w:p w:rsidR="00054BD3" w:rsidRDefault="00054BD3" w:rsidP="00801F91">
      <w:pPr>
        <w:spacing w:line="360" w:lineRule="auto"/>
        <w:ind w:left="-360" w:right="42"/>
        <w:jc w:val="center"/>
        <w:rPr>
          <w:b/>
          <w:bCs/>
          <w:sz w:val="22"/>
          <w:szCs w:val="22"/>
        </w:rPr>
      </w:pPr>
      <w:r>
        <w:rPr>
          <w:b/>
          <w:bCs/>
          <w:sz w:val="22"/>
          <w:szCs w:val="22"/>
        </w:rPr>
        <w:t>Yatırım harcamalarında toparlanma</w:t>
      </w:r>
    </w:p>
    <w:p w:rsidR="00054BD3" w:rsidRDefault="00054BD3" w:rsidP="00801F91">
      <w:pPr>
        <w:spacing w:line="360" w:lineRule="auto"/>
        <w:ind w:left="-360" w:right="42"/>
        <w:jc w:val="center"/>
        <w:rPr>
          <w:b/>
          <w:bCs/>
          <w:sz w:val="22"/>
          <w:szCs w:val="22"/>
        </w:rPr>
      </w:pPr>
    </w:p>
    <w:p w:rsidR="00054BD3" w:rsidRDefault="00054BD3" w:rsidP="00801F91">
      <w:pPr>
        <w:spacing w:line="360" w:lineRule="auto"/>
        <w:ind w:left="-360" w:right="42"/>
        <w:jc w:val="both"/>
        <w:rPr>
          <w:sz w:val="22"/>
          <w:szCs w:val="22"/>
        </w:rPr>
      </w:pPr>
      <w:r>
        <w:rPr>
          <w:sz w:val="22"/>
          <w:szCs w:val="22"/>
        </w:rPr>
        <w:t xml:space="preserve">Hem ara malı hem de yatırım malı ithalatı 2013 1. çeyrekte 2012 4. çeyrekteki seviyesinin çok üstüne çıktı. Ayrıca yatırım malı imalatı Ocak ve Şubat aylarında yüzde 2,5 ve yüzde 5,9 artış gösterdi. Sanayi üretim endeksinin de Şubat ayında yüzde 1,5 artması sevindirici. Buna karşın reel kesim güven endeksi ve kapasite kullanım oranı da hem Şubat hem de Mart artmasına rağmen iki göstergede 4. çeyrekteki seviyesinin hala altında. Yatırım malı ithalatı ve yatırım malı imalatını incelediğimizde 2013 1. çeyrekte özel yatırım harcamalarında bir toparlanma bekliyoruz.  </w:t>
      </w:r>
    </w:p>
    <w:p w:rsidR="00054BD3" w:rsidRDefault="00054BD3" w:rsidP="006335A2">
      <w:pPr>
        <w:spacing w:line="360" w:lineRule="auto"/>
        <w:ind w:left="-360" w:right="42"/>
        <w:jc w:val="both"/>
        <w:rPr>
          <w:sz w:val="22"/>
          <w:szCs w:val="22"/>
        </w:rPr>
      </w:pPr>
    </w:p>
    <w:p w:rsidR="006335A2" w:rsidRDefault="006335A2" w:rsidP="006335A2">
      <w:pPr>
        <w:spacing w:line="360" w:lineRule="auto"/>
        <w:ind w:left="-360" w:right="42"/>
        <w:jc w:val="both"/>
        <w:rPr>
          <w:sz w:val="22"/>
          <w:szCs w:val="22"/>
        </w:rPr>
      </w:pPr>
    </w:p>
    <w:p w:rsidR="006335A2" w:rsidRDefault="006335A2" w:rsidP="006335A2">
      <w:pPr>
        <w:spacing w:line="360" w:lineRule="auto"/>
        <w:ind w:left="-360" w:right="42"/>
        <w:jc w:val="both"/>
        <w:rPr>
          <w:sz w:val="22"/>
          <w:szCs w:val="22"/>
        </w:rPr>
      </w:pPr>
    </w:p>
    <w:p w:rsidR="006335A2" w:rsidRPr="006335A2" w:rsidRDefault="006335A2" w:rsidP="006335A2">
      <w:pPr>
        <w:spacing w:line="360" w:lineRule="auto"/>
        <w:ind w:left="-360" w:right="42"/>
        <w:jc w:val="both"/>
        <w:rPr>
          <w:sz w:val="22"/>
          <w:szCs w:val="22"/>
        </w:rPr>
      </w:pPr>
    </w:p>
    <w:p w:rsidR="00054BD3" w:rsidRDefault="00054BD3" w:rsidP="00801F91">
      <w:pPr>
        <w:spacing w:line="360" w:lineRule="auto"/>
        <w:ind w:left="-360" w:right="42"/>
        <w:jc w:val="center"/>
        <w:rPr>
          <w:b/>
          <w:bCs/>
          <w:sz w:val="22"/>
          <w:szCs w:val="22"/>
        </w:rPr>
      </w:pPr>
      <w:r>
        <w:rPr>
          <w:b/>
          <w:bCs/>
          <w:sz w:val="22"/>
          <w:szCs w:val="22"/>
        </w:rPr>
        <w:lastRenderedPageBreak/>
        <w:t xml:space="preserve">Net ihracatın katkısının 1. çeyrekte negatif olmasını bekliyoruz </w:t>
      </w:r>
    </w:p>
    <w:p w:rsidR="00054BD3" w:rsidRDefault="00054BD3" w:rsidP="00801F91">
      <w:pPr>
        <w:spacing w:line="360" w:lineRule="auto"/>
        <w:ind w:left="-360" w:right="42"/>
        <w:jc w:val="center"/>
        <w:rPr>
          <w:b/>
          <w:bCs/>
          <w:sz w:val="22"/>
          <w:szCs w:val="22"/>
        </w:rPr>
      </w:pPr>
    </w:p>
    <w:p w:rsidR="00060119" w:rsidRDefault="00054BD3" w:rsidP="00060119">
      <w:pPr>
        <w:spacing w:line="360" w:lineRule="auto"/>
        <w:ind w:left="-360" w:right="42"/>
        <w:jc w:val="both"/>
        <w:rPr>
          <w:sz w:val="22"/>
          <w:szCs w:val="22"/>
        </w:rPr>
      </w:pPr>
      <w:r>
        <w:rPr>
          <w:sz w:val="22"/>
          <w:szCs w:val="22"/>
        </w:rPr>
        <w:t xml:space="preserve">Şekil 2 TÜİK’in açıkladığı mevsim ve takvim etkisinden arındırılmış ihracat ve ithalat miktar endekslerini gösteriyor. 2013 Ocak ayında bir önceki aya göre ihracat miktar endeksi ve ithalat miktar endeksi sırasıyla yüzde 5,1 ve yüzde 2,6 </w:t>
      </w:r>
      <w:r w:rsidRPr="00226D50">
        <w:rPr>
          <w:sz w:val="22"/>
          <w:szCs w:val="22"/>
        </w:rPr>
        <w:t>arttı.</w:t>
      </w:r>
      <w:r w:rsidR="00226D50">
        <w:rPr>
          <w:sz w:val="22"/>
          <w:szCs w:val="22"/>
        </w:rPr>
        <w:t xml:space="preserve"> </w:t>
      </w:r>
      <w:r w:rsidR="001117C6">
        <w:rPr>
          <w:sz w:val="22"/>
          <w:szCs w:val="22"/>
        </w:rPr>
        <w:t>İ</w:t>
      </w:r>
      <w:r w:rsidRPr="00226D50">
        <w:rPr>
          <w:sz w:val="22"/>
          <w:szCs w:val="22"/>
        </w:rPr>
        <w:t>hracat miktar endeksi 2012</w:t>
      </w:r>
      <w:r w:rsidR="001117C6">
        <w:rPr>
          <w:sz w:val="22"/>
          <w:szCs w:val="22"/>
        </w:rPr>
        <w:t>’nin</w:t>
      </w:r>
      <w:r w:rsidRPr="00226D50">
        <w:rPr>
          <w:sz w:val="22"/>
          <w:szCs w:val="22"/>
        </w:rPr>
        <w:t xml:space="preserve"> </w:t>
      </w:r>
      <w:r w:rsidR="001117C6">
        <w:rPr>
          <w:sz w:val="22"/>
          <w:szCs w:val="22"/>
        </w:rPr>
        <w:t>son</w:t>
      </w:r>
      <w:r w:rsidRPr="00226D50">
        <w:rPr>
          <w:sz w:val="22"/>
          <w:szCs w:val="22"/>
        </w:rPr>
        <w:t xml:space="preserve"> çeyreğinde </w:t>
      </w:r>
      <w:r w:rsidR="001117C6">
        <w:rPr>
          <w:sz w:val="22"/>
          <w:szCs w:val="22"/>
        </w:rPr>
        <w:t xml:space="preserve">bir önceki </w:t>
      </w:r>
      <w:r w:rsidRPr="00226D50">
        <w:rPr>
          <w:sz w:val="22"/>
          <w:szCs w:val="22"/>
        </w:rPr>
        <w:t>çeyreğe göre yüzde 2 azalmasına rağmen, GSYH verileri</w:t>
      </w:r>
      <w:r w:rsidR="001117C6">
        <w:rPr>
          <w:sz w:val="22"/>
          <w:szCs w:val="22"/>
        </w:rPr>
        <w:t>ne göre</w:t>
      </w:r>
      <w:r w:rsidRPr="00226D50">
        <w:rPr>
          <w:sz w:val="22"/>
          <w:szCs w:val="22"/>
        </w:rPr>
        <w:t xml:space="preserve"> aynı dönemde </w:t>
      </w:r>
      <w:r w:rsidR="001117C6">
        <w:rPr>
          <w:sz w:val="22"/>
          <w:szCs w:val="22"/>
        </w:rPr>
        <w:t>ihracat artmış ve net ihracat</w:t>
      </w:r>
      <w:r w:rsidRPr="00226D50">
        <w:rPr>
          <w:sz w:val="22"/>
          <w:szCs w:val="22"/>
        </w:rPr>
        <w:t xml:space="preserve"> bu sayede GSYH’a pozitif katkı yapmıştı.</w:t>
      </w:r>
      <w:r w:rsidR="001117C6">
        <w:rPr>
          <w:sz w:val="22"/>
          <w:szCs w:val="22"/>
        </w:rPr>
        <w:t xml:space="preserve"> Bu şaşırtıcı gelişme son çeyrek için net ihracat katkısının yönünü yanlış tahmin etmemize neden olmuştu.</w:t>
      </w:r>
      <w:r w:rsidR="00226D50">
        <w:rPr>
          <w:sz w:val="22"/>
          <w:szCs w:val="22"/>
        </w:rPr>
        <w:t xml:space="preserve"> Buna karşın</w:t>
      </w:r>
      <w:r w:rsidRPr="00226D50">
        <w:rPr>
          <w:sz w:val="22"/>
          <w:szCs w:val="22"/>
        </w:rPr>
        <w:t xml:space="preserve"> </w:t>
      </w:r>
      <w:r w:rsidR="001117C6">
        <w:rPr>
          <w:sz w:val="22"/>
          <w:szCs w:val="22"/>
        </w:rPr>
        <w:t xml:space="preserve">genel trendin değişmediğini, </w:t>
      </w:r>
      <w:r w:rsidRPr="00226D50">
        <w:rPr>
          <w:sz w:val="22"/>
          <w:szCs w:val="22"/>
        </w:rPr>
        <w:t>2013</w:t>
      </w:r>
      <w:r>
        <w:rPr>
          <w:sz w:val="22"/>
          <w:szCs w:val="22"/>
        </w:rPr>
        <w:t xml:space="preserve"> 1. çeyrekte</w:t>
      </w:r>
      <w:r w:rsidR="00226D50">
        <w:rPr>
          <w:sz w:val="22"/>
          <w:szCs w:val="22"/>
        </w:rPr>
        <w:t xml:space="preserve"> </w:t>
      </w:r>
      <w:r w:rsidR="001117C6">
        <w:rPr>
          <w:sz w:val="22"/>
          <w:szCs w:val="22"/>
        </w:rPr>
        <w:t>net ihracatın büyümeye miktar endeksleriyle aynı yönde katkı yapacağını düşünüyoruz.</w:t>
      </w:r>
      <w:r w:rsidR="00226D50">
        <w:rPr>
          <w:sz w:val="22"/>
          <w:szCs w:val="22"/>
        </w:rPr>
        <w:t xml:space="preserve"> </w:t>
      </w:r>
      <w:r w:rsidR="001117C6">
        <w:rPr>
          <w:sz w:val="22"/>
          <w:szCs w:val="22"/>
        </w:rPr>
        <w:t>Tablo 2’de görüldüğü gibi i</w:t>
      </w:r>
      <w:r>
        <w:rPr>
          <w:sz w:val="22"/>
          <w:szCs w:val="22"/>
        </w:rPr>
        <w:t xml:space="preserve">hracat ve ithalat </w:t>
      </w:r>
      <w:r w:rsidR="001117C6">
        <w:rPr>
          <w:sz w:val="22"/>
          <w:szCs w:val="22"/>
        </w:rPr>
        <w:t xml:space="preserve">miktar endeksleri </w:t>
      </w:r>
      <w:r>
        <w:rPr>
          <w:sz w:val="22"/>
          <w:szCs w:val="22"/>
        </w:rPr>
        <w:t>arasındaki fark</w:t>
      </w:r>
      <w:r w:rsidR="00226D50">
        <w:rPr>
          <w:sz w:val="22"/>
          <w:szCs w:val="22"/>
        </w:rPr>
        <w:t xml:space="preserve"> giderek</w:t>
      </w:r>
      <w:r>
        <w:rPr>
          <w:sz w:val="22"/>
          <w:szCs w:val="22"/>
        </w:rPr>
        <w:t xml:space="preserve"> açılıyor.</w:t>
      </w:r>
      <w:r w:rsidR="00226D50">
        <w:rPr>
          <w:sz w:val="22"/>
          <w:szCs w:val="22"/>
        </w:rPr>
        <w:t xml:space="preserve"> </w:t>
      </w:r>
      <w:r>
        <w:rPr>
          <w:sz w:val="22"/>
          <w:szCs w:val="22"/>
        </w:rPr>
        <w:t xml:space="preserve"> Bu nedenle 2013 1. çeyrekte net ihracatın </w:t>
      </w:r>
      <w:r>
        <w:rPr>
          <w:sz w:val="22"/>
          <w:szCs w:val="22"/>
        </w:rPr>
        <w:lastRenderedPageBreak/>
        <w:t xml:space="preserve">GSYH’a negatif katkı yapmasını bekliyoruz. </w:t>
      </w:r>
      <w:r w:rsidR="00060119">
        <w:rPr>
          <w:sz w:val="22"/>
          <w:szCs w:val="22"/>
        </w:rPr>
        <w:br/>
      </w:r>
    </w:p>
    <w:p w:rsidR="00054BD3" w:rsidRDefault="00054BD3" w:rsidP="0020739E">
      <w:pPr>
        <w:spacing w:line="360" w:lineRule="auto"/>
        <w:ind w:right="42"/>
        <w:jc w:val="center"/>
        <w:rPr>
          <w:b/>
          <w:bCs/>
          <w:sz w:val="22"/>
          <w:szCs w:val="22"/>
        </w:rPr>
      </w:pPr>
      <w:r>
        <w:rPr>
          <w:b/>
          <w:bCs/>
          <w:sz w:val="22"/>
          <w:szCs w:val="22"/>
        </w:rPr>
        <w:t>Cari açık Şubat’ta arttı</w:t>
      </w:r>
    </w:p>
    <w:p w:rsidR="00054BD3" w:rsidRPr="003A3575" w:rsidRDefault="00054BD3" w:rsidP="0020739E">
      <w:pPr>
        <w:spacing w:line="360" w:lineRule="auto"/>
        <w:ind w:right="42"/>
        <w:jc w:val="center"/>
        <w:rPr>
          <w:b/>
          <w:bCs/>
          <w:sz w:val="22"/>
          <w:szCs w:val="22"/>
        </w:rPr>
      </w:pPr>
    </w:p>
    <w:p w:rsidR="00054BD3" w:rsidRDefault="00054BD3" w:rsidP="0020739E">
      <w:pPr>
        <w:spacing w:line="360" w:lineRule="auto"/>
        <w:ind w:left="-360" w:right="42"/>
        <w:jc w:val="both"/>
        <w:rPr>
          <w:sz w:val="22"/>
          <w:szCs w:val="22"/>
        </w:rPr>
      </w:pPr>
      <w:r>
        <w:rPr>
          <w:sz w:val="22"/>
          <w:szCs w:val="22"/>
        </w:rPr>
        <w:t>Ocak ayında geçen senenin aynı ayına göre dış ticaret açığında çok küçük bir artış olmuş, cari açık ise geçen sene ile hemen hemen aynı düzeyde gerçekleşmişti. Şubat’ta yaklaşık 1 milyar dolar artışla dış ticaret açığı yükselişe geçti. Bu dönemde altın ticaretinin cari açık üzerinde yaklaşık 0,5 milyar dolar artırıcı etkisi oldu.</w:t>
      </w:r>
    </w:p>
    <w:p w:rsidR="00054BD3" w:rsidRDefault="00054BD3" w:rsidP="0020739E">
      <w:pPr>
        <w:spacing w:line="360" w:lineRule="auto"/>
        <w:ind w:left="-360" w:right="42"/>
        <w:jc w:val="both"/>
        <w:rPr>
          <w:sz w:val="22"/>
          <w:szCs w:val="22"/>
        </w:rPr>
      </w:pPr>
    </w:p>
    <w:p w:rsidR="00054BD3" w:rsidRDefault="00054BD3" w:rsidP="0020739E">
      <w:pPr>
        <w:spacing w:line="360" w:lineRule="auto"/>
        <w:ind w:left="-360" w:right="42"/>
        <w:jc w:val="both"/>
        <w:rPr>
          <w:sz w:val="22"/>
          <w:szCs w:val="22"/>
        </w:rPr>
      </w:pPr>
      <w:r>
        <w:rPr>
          <w:sz w:val="22"/>
          <w:szCs w:val="22"/>
        </w:rPr>
        <w:t>12 aylık cari açık 2011 Ekim ayından bu yana ilk defa belirgin olarak artışa geçti. Ocak sonunda 47,6 milyar dolar olan 12 aylık cari açık Şubat’ta 48,4 milyar dolara yükseldi. Betam 2012 sonunda 6,0 olan cari açığın GSYH’a oranının birinci çeyrekte aynı kalacağını tahmin ediyor.</w:t>
      </w:r>
      <w:r w:rsidR="001117C6">
        <w:rPr>
          <w:sz w:val="22"/>
          <w:szCs w:val="22"/>
        </w:rPr>
        <w:t xml:space="preserve"> Ancak Mart ayında da ithalata artış devam ederse cari açık oranı artabilir.</w:t>
      </w:r>
    </w:p>
    <w:p w:rsidR="006335A2" w:rsidRDefault="00054BD3" w:rsidP="006335A2">
      <w:pPr>
        <w:spacing w:line="360" w:lineRule="auto"/>
        <w:ind w:left="-360" w:right="42"/>
        <w:jc w:val="both"/>
        <w:rPr>
          <w:sz w:val="22"/>
          <w:szCs w:val="22"/>
        </w:rPr>
        <w:sectPr w:rsidR="006335A2" w:rsidSect="000F0C2B">
          <w:type w:val="continuous"/>
          <w:pgSz w:w="11906" w:h="16838"/>
          <w:pgMar w:top="1417" w:right="1417" w:bottom="1417" w:left="1417" w:header="708" w:footer="708" w:gutter="0"/>
          <w:cols w:num="2" w:space="708" w:equalWidth="0">
            <w:col w:w="4182" w:space="708"/>
            <w:col w:w="4182"/>
          </w:cols>
          <w:docGrid w:linePitch="360"/>
        </w:sectPr>
      </w:pPr>
      <w:r>
        <w:rPr>
          <w:sz w:val="22"/>
          <w:szCs w:val="22"/>
        </w:rPr>
        <w:t xml:space="preserve">   </w:t>
      </w:r>
    </w:p>
    <w:p w:rsidR="00054BD3" w:rsidRDefault="00054BD3"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6335A2" w:rsidRDefault="006335A2" w:rsidP="008A0F64">
      <w:pPr>
        <w:spacing w:line="360" w:lineRule="auto"/>
        <w:ind w:right="42"/>
        <w:jc w:val="both"/>
        <w:rPr>
          <w:b/>
          <w:bCs/>
          <w:sz w:val="22"/>
          <w:szCs w:val="22"/>
        </w:rPr>
      </w:pPr>
    </w:p>
    <w:p w:rsidR="0011279B" w:rsidRDefault="0011279B" w:rsidP="008A0F64">
      <w:pPr>
        <w:spacing w:line="360" w:lineRule="auto"/>
        <w:ind w:right="42"/>
        <w:jc w:val="both"/>
        <w:rPr>
          <w:b/>
          <w:bCs/>
          <w:sz w:val="22"/>
          <w:szCs w:val="22"/>
        </w:rPr>
      </w:pPr>
    </w:p>
    <w:p w:rsidR="00054BD3" w:rsidRPr="009B33E7" w:rsidRDefault="00054BD3" w:rsidP="008A0F64">
      <w:pPr>
        <w:spacing w:line="360" w:lineRule="auto"/>
        <w:ind w:right="42"/>
        <w:jc w:val="both"/>
        <w:rPr>
          <w:sz w:val="22"/>
          <w:szCs w:val="22"/>
        </w:rPr>
      </w:pPr>
      <w:r w:rsidRPr="008C6E50">
        <w:rPr>
          <w:b/>
          <w:bCs/>
          <w:sz w:val="22"/>
          <w:szCs w:val="22"/>
        </w:rPr>
        <w:lastRenderedPageBreak/>
        <w:t>Tablo</w:t>
      </w:r>
      <w:r>
        <w:rPr>
          <w:b/>
          <w:bCs/>
          <w:sz w:val="22"/>
          <w:szCs w:val="22"/>
        </w:rPr>
        <w:t xml:space="preserve"> 2</w:t>
      </w:r>
      <w:r w:rsidRPr="008C6E50">
        <w:rPr>
          <w:b/>
          <w:bCs/>
          <w:sz w:val="22"/>
          <w:szCs w:val="22"/>
        </w:rPr>
        <w:t>. Ekonomik göstergelerin aydan aya ve çeyrekten çeyreğe değişimleri (Reel ve MEA)</w:t>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964"/>
        <w:gridCol w:w="964"/>
        <w:gridCol w:w="964"/>
        <w:gridCol w:w="965"/>
        <w:gridCol w:w="964"/>
        <w:gridCol w:w="964"/>
        <w:gridCol w:w="965"/>
      </w:tblGrid>
      <w:tr w:rsidR="00054BD3" w:rsidTr="00226D50">
        <w:trPr>
          <w:trHeight w:val="607"/>
        </w:trPr>
        <w:tc>
          <w:tcPr>
            <w:tcW w:w="3330" w:type="dxa"/>
            <w:vAlign w:val="center"/>
          </w:tcPr>
          <w:p w:rsidR="00054BD3" w:rsidRPr="00261A05" w:rsidRDefault="00054BD3" w:rsidP="00261A05">
            <w:pPr>
              <w:ind w:right="42"/>
              <w:jc w:val="center"/>
              <w:rPr>
                <w:b/>
                <w:bCs/>
              </w:rPr>
            </w:pPr>
            <w:r w:rsidRPr="00261A05">
              <w:rPr>
                <w:b/>
                <w:bCs/>
                <w:sz w:val="22"/>
                <w:szCs w:val="22"/>
              </w:rPr>
              <w:t>Ekonomik Göstergeler</w:t>
            </w:r>
          </w:p>
        </w:tc>
        <w:tc>
          <w:tcPr>
            <w:tcW w:w="964" w:type="dxa"/>
            <w:vAlign w:val="center"/>
          </w:tcPr>
          <w:p w:rsidR="00054BD3" w:rsidRPr="00261A05" w:rsidRDefault="00054BD3" w:rsidP="00261A05">
            <w:pPr>
              <w:ind w:right="42"/>
              <w:jc w:val="center"/>
              <w:rPr>
                <w:b/>
                <w:bCs/>
              </w:rPr>
            </w:pPr>
            <w:r w:rsidRPr="00261A05">
              <w:rPr>
                <w:b/>
                <w:bCs/>
                <w:sz w:val="22"/>
                <w:szCs w:val="22"/>
              </w:rPr>
              <w:t>Kasım</w:t>
            </w:r>
          </w:p>
        </w:tc>
        <w:tc>
          <w:tcPr>
            <w:tcW w:w="964" w:type="dxa"/>
            <w:vAlign w:val="center"/>
          </w:tcPr>
          <w:p w:rsidR="00054BD3" w:rsidRPr="00261A05" w:rsidRDefault="00054BD3" w:rsidP="00261A05">
            <w:pPr>
              <w:ind w:right="42"/>
              <w:jc w:val="center"/>
              <w:rPr>
                <w:b/>
                <w:bCs/>
              </w:rPr>
            </w:pPr>
            <w:r w:rsidRPr="00261A05">
              <w:rPr>
                <w:b/>
                <w:bCs/>
                <w:sz w:val="22"/>
                <w:szCs w:val="22"/>
              </w:rPr>
              <w:t>Aralık</w:t>
            </w:r>
          </w:p>
        </w:tc>
        <w:tc>
          <w:tcPr>
            <w:tcW w:w="964" w:type="dxa"/>
            <w:vAlign w:val="center"/>
          </w:tcPr>
          <w:p w:rsidR="00054BD3" w:rsidRPr="00261A05" w:rsidRDefault="00054BD3" w:rsidP="00261A05">
            <w:pPr>
              <w:ind w:right="42"/>
              <w:jc w:val="center"/>
              <w:rPr>
                <w:b/>
                <w:bCs/>
              </w:rPr>
            </w:pPr>
            <w:r w:rsidRPr="00261A05">
              <w:rPr>
                <w:b/>
                <w:bCs/>
                <w:sz w:val="22"/>
                <w:szCs w:val="22"/>
              </w:rPr>
              <w:t>Ocak</w:t>
            </w:r>
          </w:p>
        </w:tc>
        <w:tc>
          <w:tcPr>
            <w:tcW w:w="965" w:type="dxa"/>
            <w:vAlign w:val="center"/>
          </w:tcPr>
          <w:p w:rsidR="00054BD3" w:rsidRPr="00261A05" w:rsidRDefault="00054BD3" w:rsidP="00261A05">
            <w:pPr>
              <w:ind w:right="42"/>
              <w:jc w:val="center"/>
              <w:rPr>
                <w:b/>
                <w:bCs/>
              </w:rPr>
            </w:pPr>
            <w:r w:rsidRPr="00261A05">
              <w:rPr>
                <w:b/>
                <w:bCs/>
                <w:sz w:val="22"/>
                <w:szCs w:val="22"/>
              </w:rPr>
              <w:t>Şubat</w:t>
            </w:r>
          </w:p>
        </w:tc>
        <w:tc>
          <w:tcPr>
            <w:tcW w:w="964" w:type="dxa"/>
            <w:tcBorders>
              <w:right w:val="double" w:sz="4" w:space="0" w:color="auto"/>
            </w:tcBorders>
            <w:vAlign w:val="center"/>
          </w:tcPr>
          <w:p w:rsidR="00054BD3" w:rsidRPr="00261A05" w:rsidRDefault="00054BD3" w:rsidP="00261A05">
            <w:pPr>
              <w:ind w:right="42"/>
              <w:jc w:val="center"/>
              <w:rPr>
                <w:b/>
                <w:bCs/>
              </w:rPr>
            </w:pPr>
            <w:r w:rsidRPr="00261A05">
              <w:rPr>
                <w:b/>
                <w:bCs/>
                <w:sz w:val="22"/>
                <w:szCs w:val="22"/>
              </w:rPr>
              <w:t>Mart</w:t>
            </w:r>
          </w:p>
        </w:tc>
        <w:tc>
          <w:tcPr>
            <w:tcW w:w="964" w:type="dxa"/>
            <w:tcBorders>
              <w:left w:val="double" w:sz="4" w:space="0" w:color="auto"/>
            </w:tcBorders>
            <w:vAlign w:val="center"/>
          </w:tcPr>
          <w:p w:rsidR="00054BD3" w:rsidRPr="00261A05" w:rsidRDefault="00054BD3" w:rsidP="00261A05">
            <w:pPr>
              <w:ind w:right="42"/>
              <w:jc w:val="center"/>
              <w:rPr>
                <w:b/>
                <w:bCs/>
              </w:rPr>
            </w:pPr>
            <w:r w:rsidRPr="00261A05">
              <w:rPr>
                <w:b/>
                <w:bCs/>
                <w:sz w:val="22"/>
                <w:szCs w:val="22"/>
              </w:rPr>
              <w:t>2012 4. Çeyrek</w:t>
            </w:r>
          </w:p>
        </w:tc>
        <w:tc>
          <w:tcPr>
            <w:tcW w:w="965" w:type="dxa"/>
            <w:vAlign w:val="center"/>
          </w:tcPr>
          <w:p w:rsidR="00054BD3" w:rsidRPr="00261A05" w:rsidRDefault="00054BD3" w:rsidP="00261A05">
            <w:pPr>
              <w:ind w:right="42"/>
              <w:jc w:val="center"/>
              <w:rPr>
                <w:b/>
                <w:bCs/>
              </w:rPr>
            </w:pPr>
            <w:r w:rsidRPr="00261A05">
              <w:rPr>
                <w:b/>
                <w:bCs/>
                <w:sz w:val="22"/>
                <w:szCs w:val="22"/>
              </w:rPr>
              <w:t>2013 1. Çeyrek</w:t>
            </w:r>
          </w:p>
        </w:tc>
      </w:tr>
      <w:tr w:rsidR="00054BD3" w:rsidTr="00226D50">
        <w:trPr>
          <w:trHeight w:val="370"/>
        </w:trPr>
        <w:tc>
          <w:tcPr>
            <w:tcW w:w="3330" w:type="dxa"/>
            <w:vAlign w:val="center"/>
          </w:tcPr>
          <w:p w:rsidR="00054BD3" w:rsidRPr="00261A05" w:rsidRDefault="00054BD3" w:rsidP="00261A05">
            <w:pPr>
              <w:ind w:right="42"/>
              <w:jc w:val="center"/>
              <w:rPr>
                <w:b/>
                <w:bCs/>
              </w:rPr>
            </w:pPr>
            <w:r w:rsidRPr="00261A05">
              <w:rPr>
                <w:b/>
                <w:bCs/>
                <w:sz w:val="22"/>
                <w:szCs w:val="22"/>
              </w:rPr>
              <w:t>İhracat</w:t>
            </w:r>
          </w:p>
        </w:tc>
        <w:tc>
          <w:tcPr>
            <w:tcW w:w="964" w:type="dxa"/>
            <w:vAlign w:val="center"/>
          </w:tcPr>
          <w:p w:rsidR="00054BD3" w:rsidRPr="00261A05" w:rsidRDefault="00054BD3" w:rsidP="00261A05">
            <w:pPr>
              <w:ind w:right="42"/>
              <w:jc w:val="center"/>
              <w:rPr>
                <w:b/>
                <w:bCs/>
              </w:rPr>
            </w:pPr>
            <w:r w:rsidRPr="00261A05">
              <w:rPr>
                <w:b/>
                <w:bCs/>
                <w:sz w:val="22"/>
                <w:szCs w:val="22"/>
              </w:rPr>
              <w:t>-4,1</w:t>
            </w:r>
          </w:p>
        </w:tc>
        <w:tc>
          <w:tcPr>
            <w:tcW w:w="964" w:type="dxa"/>
            <w:vAlign w:val="center"/>
          </w:tcPr>
          <w:p w:rsidR="00054BD3" w:rsidRPr="00261A05" w:rsidRDefault="00054BD3" w:rsidP="00261A05">
            <w:pPr>
              <w:ind w:right="42"/>
              <w:jc w:val="center"/>
              <w:rPr>
                <w:b/>
                <w:bCs/>
              </w:rPr>
            </w:pPr>
            <w:r w:rsidRPr="00261A05">
              <w:rPr>
                <w:b/>
                <w:bCs/>
                <w:sz w:val="22"/>
                <w:szCs w:val="22"/>
              </w:rPr>
              <w:t>-4,1</w:t>
            </w:r>
          </w:p>
        </w:tc>
        <w:tc>
          <w:tcPr>
            <w:tcW w:w="964" w:type="dxa"/>
            <w:vAlign w:val="center"/>
          </w:tcPr>
          <w:p w:rsidR="00054BD3" w:rsidRPr="00261A05" w:rsidRDefault="00054BD3" w:rsidP="00261A05">
            <w:pPr>
              <w:ind w:right="42"/>
              <w:jc w:val="center"/>
              <w:rPr>
                <w:b/>
                <w:bCs/>
              </w:rPr>
            </w:pPr>
            <w:r w:rsidRPr="00261A05">
              <w:rPr>
                <w:b/>
                <w:bCs/>
                <w:sz w:val="22"/>
                <w:szCs w:val="22"/>
              </w:rPr>
              <w:t>-0,6</w:t>
            </w:r>
          </w:p>
        </w:tc>
        <w:tc>
          <w:tcPr>
            <w:tcW w:w="965" w:type="dxa"/>
            <w:vAlign w:val="center"/>
          </w:tcPr>
          <w:p w:rsidR="00054BD3" w:rsidRPr="00261A05" w:rsidRDefault="00054BD3" w:rsidP="00261A05">
            <w:pPr>
              <w:ind w:right="42"/>
              <w:jc w:val="center"/>
              <w:rPr>
                <w:b/>
                <w:bCs/>
              </w:rPr>
            </w:pPr>
            <w:r w:rsidRPr="00261A05">
              <w:rPr>
                <w:b/>
                <w:bCs/>
                <w:sz w:val="22"/>
                <w:szCs w:val="22"/>
              </w:rPr>
              <w:t>5,1</w:t>
            </w:r>
          </w:p>
        </w:tc>
        <w:tc>
          <w:tcPr>
            <w:tcW w:w="964" w:type="dxa"/>
            <w:tcBorders>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left w:val="double" w:sz="4" w:space="0" w:color="auto"/>
            </w:tcBorders>
            <w:vAlign w:val="center"/>
          </w:tcPr>
          <w:p w:rsidR="00054BD3" w:rsidRPr="00261A05" w:rsidRDefault="00054BD3" w:rsidP="00261A05">
            <w:pPr>
              <w:ind w:right="42"/>
              <w:jc w:val="center"/>
              <w:rPr>
                <w:b/>
                <w:bCs/>
              </w:rPr>
            </w:pPr>
            <w:r w:rsidRPr="00261A05">
              <w:rPr>
                <w:b/>
                <w:bCs/>
                <w:sz w:val="22"/>
                <w:szCs w:val="22"/>
              </w:rPr>
              <w:t>-2,0</w:t>
            </w:r>
          </w:p>
        </w:tc>
        <w:tc>
          <w:tcPr>
            <w:tcW w:w="965" w:type="dxa"/>
            <w:vAlign w:val="center"/>
          </w:tcPr>
          <w:p w:rsidR="00054BD3" w:rsidRPr="00261A05" w:rsidRDefault="00054BD3" w:rsidP="00261A05">
            <w:pPr>
              <w:ind w:right="42"/>
              <w:jc w:val="center"/>
              <w:rPr>
                <w:b/>
                <w:bCs/>
              </w:rPr>
            </w:pPr>
            <w:r w:rsidRPr="00261A05">
              <w:rPr>
                <w:b/>
                <w:bCs/>
                <w:sz w:val="22"/>
                <w:szCs w:val="22"/>
              </w:rPr>
              <w:t>-2,3</w:t>
            </w:r>
          </w:p>
        </w:tc>
      </w:tr>
      <w:tr w:rsidR="00054BD3" w:rsidTr="00226D50">
        <w:trPr>
          <w:trHeight w:val="370"/>
        </w:trPr>
        <w:tc>
          <w:tcPr>
            <w:tcW w:w="3330" w:type="dxa"/>
            <w:tcBorders>
              <w:bottom w:val="nil"/>
            </w:tcBorders>
            <w:vAlign w:val="center"/>
          </w:tcPr>
          <w:p w:rsidR="00054BD3" w:rsidRPr="00261A05" w:rsidRDefault="00054BD3" w:rsidP="00261A05">
            <w:pPr>
              <w:ind w:right="42"/>
              <w:jc w:val="center"/>
              <w:rPr>
                <w:b/>
                <w:bCs/>
              </w:rPr>
            </w:pPr>
            <w:r w:rsidRPr="00261A05">
              <w:rPr>
                <w:b/>
                <w:bCs/>
                <w:sz w:val="22"/>
                <w:szCs w:val="22"/>
              </w:rPr>
              <w:t>İthalat</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4,3</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-5,9</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5,8</w:t>
            </w:r>
          </w:p>
        </w:tc>
        <w:tc>
          <w:tcPr>
            <w:tcW w:w="965" w:type="dxa"/>
            <w:tcBorders>
              <w:bottom w:val="nil"/>
            </w:tcBorders>
            <w:vAlign w:val="center"/>
          </w:tcPr>
          <w:p w:rsidR="00054BD3" w:rsidRPr="00261A05" w:rsidRDefault="00054BD3" w:rsidP="00261A05">
            <w:pPr>
              <w:ind w:right="42"/>
              <w:jc w:val="center"/>
              <w:rPr>
                <w:b/>
                <w:bCs/>
              </w:rPr>
            </w:pPr>
            <w:r w:rsidRPr="00261A05">
              <w:rPr>
                <w:b/>
                <w:bCs/>
                <w:sz w:val="22"/>
                <w:szCs w:val="22"/>
              </w:rPr>
              <w:t>2,6</w:t>
            </w:r>
          </w:p>
        </w:tc>
        <w:tc>
          <w:tcPr>
            <w:tcW w:w="964" w:type="dxa"/>
            <w:tcBorders>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left w:val="double" w:sz="4" w:space="0" w:color="auto"/>
              <w:bottom w:val="nil"/>
            </w:tcBorders>
            <w:vAlign w:val="center"/>
          </w:tcPr>
          <w:p w:rsidR="00054BD3" w:rsidRPr="00261A05" w:rsidRDefault="00054BD3" w:rsidP="00261A05">
            <w:pPr>
              <w:ind w:right="42"/>
              <w:jc w:val="center"/>
              <w:rPr>
                <w:b/>
                <w:bCs/>
              </w:rPr>
            </w:pPr>
            <w:r w:rsidRPr="00261A05">
              <w:rPr>
                <w:b/>
                <w:bCs/>
                <w:sz w:val="22"/>
                <w:szCs w:val="22"/>
              </w:rPr>
              <w:t>-1,7</w:t>
            </w:r>
          </w:p>
        </w:tc>
        <w:tc>
          <w:tcPr>
            <w:tcW w:w="965" w:type="dxa"/>
            <w:tcBorders>
              <w:bottom w:val="nil"/>
            </w:tcBorders>
            <w:vAlign w:val="center"/>
          </w:tcPr>
          <w:p w:rsidR="00054BD3" w:rsidRPr="00261A05" w:rsidRDefault="00054BD3" w:rsidP="00261A05">
            <w:pPr>
              <w:ind w:right="42"/>
              <w:jc w:val="center"/>
              <w:rPr>
                <w:b/>
                <w:bCs/>
              </w:rPr>
            </w:pPr>
            <w:r w:rsidRPr="00261A05">
              <w:rPr>
                <w:b/>
                <w:bCs/>
                <w:sz w:val="22"/>
                <w:szCs w:val="22"/>
              </w:rPr>
              <w:t>4,3</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Ara malı ithalatı</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5,3</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-11,8</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10,9</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0,0</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-0,7</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3,7</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Tüketim malı ithalatı</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5,3</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-17,4</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8,7</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6,8</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2,7</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0,4</w:t>
            </w:r>
          </w:p>
        </w:tc>
      </w:tr>
      <w:tr w:rsidR="00054BD3" w:rsidTr="00226D50">
        <w:trPr>
          <w:trHeight w:val="370"/>
        </w:trPr>
        <w:tc>
          <w:tcPr>
            <w:tcW w:w="3330" w:type="dxa"/>
            <w:tcBorders>
              <w:top w:val="nil"/>
            </w:tcBorders>
            <w:vAlign w:val="center"/>
          </w:tcPr>
          <w:p w:rsidR="00054BD3" w:rsidRPr="00261A05" w:rsidRDefault="00054BD3" w:rsidP="00261A05">
            <w:pPr>
              <w:ind w:right="42"/>
              <w:jc w:val="center"/>
            </w:pPr>
            <w:r w:rsidRPr="00261A05">
              <w:rPr>
                <w:sz w:val="22"/>
                <w:szCs w:val="22"/>
              </w:rPr>
              <w:t>Yatırım malı ithalatı</w:t>
            </w:r>
          </w:p>
        </w:tc>
        <w:tc>
          <w:tcPr>
            <w:tcW w:w="964" w:type="dxa"/>
            <w:tcBorders>
              <w:top w:val="nil"/>
            </w:tcBorders>
            <w:vAlign w:val="center"/>
          </w:tcPr>
          <w:p w:rsidR="00054BD3" w:rsidRPr="00261A05" w:rsidRDefault="00054BD3" w:rsidP="00261A05">
            <w:pPr>
              <w:ind w:right="42"/>
              <w:jc w:val="center"/>
            </w:pPr>
            <w:r w:rsidRPr="00261A05">
              <w:rPr>
                <w:sz w:val="22"/>
                <w:szCs w:val="22"/>
              </w:rPr>
              <w:t>4,5</w:t>
            </w:r>
          </w:p>
        </w:tc>
        <w:tc>
          <w:tcPr>
            <w:tcW w:w="964" w:type="dxa"/>
            <w:tcBorders>
              <w:top w:val="nil"/>
            </w:tcBorders>
            <w:vAlign w:val="center"/>
          </w:tcPr>
          <w:p w:rsidR="00054BD3" w:rsidRPr="00261A05" w:rsidRDefault="00054BD3" w:rsidP="00261A05">
            <w:pPr>
              <w:ind w:right="42"/>
              <w:jc w:val="center"/>
            </w:pPr>
            <w:r w:rsidRPr="00261A05">
              <w:rPr>
                <w:sz w:val="22"/>
                <w:szCs w:val="22"/>
              </w:rPr>
              <w:t>-17,2</w:t>
            </w:r>
          </w:p>
        </w:tc>
        <w:tc>
          <w:tcPr>
            <w:tcW w:w="964" w:type="dxa"/>
            <w:tcBorders>
              <w:top w:val="nil"/>
            </w:tcBorders>
            <w:vAlign w:val="center"/>
          </w:tcPr>
          <w:p w:rsidR="00054BD3" w:rsidRPr="00261A05" w:rsidRDefault="00054BD3" w:rsidP="00261A05">
            <w:pPr>
              <w:ind w:right="42"/>
              <w:jc w:val="center"/>
            </w:pPr>
            <w:r w:rsidRPr="00261A05">
              <w:rPr>
                <w:sz w:val="22"/>
                <w:szCs w:val="22"/>
              </w:rPr>
              <w:t>27,4</w:t>
            </w:r>
          </w:p>
        </w:tc>
        <w:tc>
          <w:tcPr>
            <w:tcW w:w="965" w:type="dxa"/>
            <w:tcBorders>
              <w:top w:val="nil"/>
            </w:tcBorders>
            <w:vAlign w:val="center"/>
          </w:tcPr>
          <w:p w:rsidR="00054BD3" w:rsidRPr="00261A05" w:rsidRDefault="00054BD3" w:rsidP="00261A05">
            <w:pPr>
              <w:ind w:right="42"/>
              <w:jc w:val="center"/>
            </w:pPr>
            <w:r w:rsidRPr="00261A05">
              <w:rPr>
                <w:sz w:val="22"/>
                <w:szCs w:val="22"/>
              </w:rPr>
              <w:t>0,2</w:t>
            </w:r>
          </w:p>
        </w:tc>
        <w:tc>
          <w:tcPr>
            <w:tcW w:w="964" w:type="dxa"/>
            <w:tcBorders>
              <w:top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tcBorders>
            <w:vAlign w:val="center"/>
          </w:tcPr>
          <w:p w:rsidR="00054BD3" w:rsidRPr="00261A05" w:rsidRDefault="00054BD3" w:rsidP="00261A05">
            <w:pPr>
              <w:ind w:right="42"/>
              <w:jc w:val="center"/>
            </w:pPr>
            <w:r w:rsidRPr="00261A05">
              <w:rPr>
                <w:sz w:val="22"/>
                <w:szCs w:val="22"/>
              </w:rPr>
              <w:t>6,8</w:t>
            </w:r>
          </w:p>
        </w:tc>
        <w:tc>
          <w:tcPr>
            <w:tcW w:w="965" w:type="dxa"/>
            <w:tcBorders>
              <w:top w:val="nil"/>
            </w:tcBorders>
            <w:vAlign w:val="center"/>
          </w:tcPr>
          <w:p w:rsidR="00054BD3" w:rsidRPr="00261A05" w:rsidRDefault="00054BD3" w:rsidP="00261A05">
            <w:pPr>
              <w:ind w:right="42"/>
              <w:jc w:val="center"/>
            </w:pPr>
            <w:r w:rsidRPr="00261A05">
              <w:rPr>
                <w:sz w:val="22"/>
                <w:szCs w:val="22"/>
              </w:rPr>
              <w:t>13,7</w:t>
            </w:r>
          </w:p>
        </w:tc>
      </w:tr>
      <w:tr w:rsidR="00054BD3" w:rsidTr="00226D50">
        <w:trPr>
          <w:trHeight w:val="370"/>
        </w:trPr>
        <w:tc>
          <w:tcPr>
            <w:tcW w:w="3330" w:type="dxa"/>
            <w:vAlign w:val="center"/>
          </w:tcPr>
          <w:p w:rsidR="00054BD3" w:rsidRPr="00261A05" w:rsidRDefault="00054BD3" w:rsidP="00261A05">
            <w:pPr>
              <w:ind w:right="42"/>
              <w:jc w:val="center"/>
              <w:rPr>
                <w:b/>
                <w:bCs/>
              </w:rPr>
            </w:pPr>
            <w:r w:rsidRPr="00261A05">
              <w:rPr>
                <w:b/>
                <w:bCs/>
                <w:sz w:val="22"/>
                <w:szCs w:val="22"/>
              </w:rPr>
              <w:t>Altın hariç ihracat</w:t>
            </w:r>
          </w:p>
        </w:tc>
        <w:tc>
          <w:tcPr>
            <w:tcW w:w="964" w:type="dxa"/>
            <w:vAlign w:val="center"/>
          </w:tcPr>
          <w:p w:rsidR="00054BD3" w:rsidRPr="00261A05" w:rsidRDefault="00054BD3" w:rsidP="00261A05">
            <w:pPr>
              <w:ind w:right="42"/>
              <w:jc w:val="center"/>
              <w:rPr>
                <w:b/>
                <w:bCs/>
              </w:rPr>
            </w:pPr>
            <w:r w:rsidRPr="00261A05">
              <w:rPr>
                <w:b/>
                <w:bCs/>
                <w:sz w:val="22"/>
                <w:szCs w:val="22"/>
              </w:rPr>
              <w:t>4,7</w:t>
            </w:r>
          </w:p>
        </w:tc>
        <w:tc>
          <w:tcPr>
            <w:tcW w:w="964" w:type="dxa"/>
            <w:vAlign w:val="center"/>
          </w:tcPr>
          <w:p w:rsidR="00054BD3" w:rsidRPr="00261A05" w:rsidRDefault="00054BD3" w:rsidP="00261A05">
            <w:pPr>
              <w:ind w:right="42"/>
              <w:jc w:val="center"/>
              <w:rPr>
                <w:b/>
                <w:bCs/>
              </w:rPr>
            </w:pPr>
            <w:r w:rsidRPr="00261A05">
              <w:rPr>
                <w:b/>
                <w:bCs/>
                <w:sz w:val="22"/>
                <w:szCs w:val="22"/>
              </w:rPr>
              <w:t>-7,7</w:t>
            </w:r>
          </w:p>
        </w:tc>
        <w:tc>
          <w:tcPr>
            <w:tcW w:w="964" w:type="dxa"/>
            <w:vAlign w:val="center"/>
          </w:tcPr>
          <w:p w:rsidR="00054BD3" w:rsidRPr="00261A05" w:rsidRDefault="00054BD3" w:rsidP="00261A05">
            <w:pPr>
              <w:ind w:right="42"/>
              <w:jc w:val="center"/>
              <w:rPr>
                <w:b/>
                <w:bCs/>
              </w:rPr>
            </w:pPr>
            <w:r w:rsidRPr="00261A05">
              <w:rPr>
                <w:b/>
                <w:bCs/>
                <w:sz w:val="22"/>
                <w:szCs w:val="22"/>
              </w:rPr>
              <w:t>5,2</w:t>
            </w:r>
          </w:p>
        </w:tc>
        <w:tc>
          <w:tcPr>
            <w:tcW w:w="965" w:type="dxa"/>
            <w:vAlign w:val="center"/>
          </w:tcPr>
          <w:p w:rsidR="00054BD3" w:rsidRPr="00261A05" w:rsidRDefault="00054BD3" w:rsidP="00261A05">
            <w:pPr>
              <w:ind w:right="42"/>
              <w:jc w:val="center"/>
              <w:rPr>
                <w:b/>
                <w:bCs/>
              </w:rPr>
            </w:pPr>
            <w:r w:rsidRPr="00261A05">
              <w:rPr>
                <w:b/>
                <w:bCs/>
                <w:sz w:val="22"/>
                <w:szCs w:val="22"/>
              </w:rPr>
              <w:t>0,7</w:t>
            </w:r>
          </w:p>
        </w:tc>
        <w:tc>
          <w:tcPr>
            <w:tcW w:w="964" w:type="dxa"/>
            <w:tcBorders>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left w:val="double" w:sz="4" w:space="0" w:color="auto"/>
            </w:tcBorders>
            <w:vAlign w:val="center"/>
          </w:tcPr>
          <w:p w:rsidR="00054BD3" w:rsidRPr="00261A05" w:rsidRDefault="00054BD3" w:rsidP="00261A05">
            <w:pPr>
              <w:ind w:right="42"/>
              <w:jc w:val="center"/>
              <w:rPr>
                <w:b/>
                <w:bCs/>
              </w:rPr>
            </w:pPr>
            <w:r w:rsidRPr="00261A05">
              <w:rPr>
                <w:b/>
                <w:bCs/>
                <w:sz w:val="22"/>
                <w:szCs w:val="22"/>
              </w:rPr>
              <w:t>3,5</w:t>
            </w:r>
          </w:p>
        </w:tc>
        <w:tc>
          <w:tcPr>
            <w:tcW w:w="965" w:type="dxa"/>
            <w:vAlign w:val="center"/>
          </w:tcPr>
          <w:p w:rsidR="00054BD3" w:rsidRPr="00261A05" w:rsidRDefault="00054BD3" w:rsidP="00261A05">
            <w:pPr>
              <w:ind w:right="42"/>
              <w:jc w:val="center"/>
              <w:rPr>
                <w:b/>
                <w:bCs/>
              </w:rPr>
            </w:pPr>
            <w:r w:rsidRPr="00261A05">
              <w:rPr>
                <w:b/>
                <w:bCs/>
                <w:sz w:val="22"/>
                <w:szCs w:val="22"/>
              </w:rPr>
              <w:t>1,6</w:t>
            </w:r>
          </w:p>
        </w:tc>
      </w:tr>
      <w:tr w:rsidR="00054BD3" w:rsidTr="00226D50">
        <w:trPr>
          <w:trHeight w:val="370"/>
        </w:trPr>
        <w:tc>
          <w:tcPr>
            <w:tcW w:w="3330" w:type="dxa"/>
            <w:vAlign w:val="center"/>
          </w:tcPr>
          <w:p w:rsidR="00054BD3" w:rsidRPr="00261A05" w:rsidRDefault="00054BD3" w:rsidP="00261A05">
            <w:pPr>
              <w:ind w:right="42"/>
              <w:jc w:val="center"/>
              <w:rPr>
                <w:b/>
                <w:bCs/>
              </w:rPr>
            </w:pPr>
            <w:r w:rsidRPr="00261A05">
              <w:rPr>
                <w:b/>
                <w:bCs/>
                <w:sz w:val="22"/>
                <w:szCs w:val="22"/>
              </w:rPr>
              <w:t>Altın hariç ithalat</w:t>
            </w:r>
          </w:p>
        </w:tc>
        <w:tc>
          <w:tcPr>
            <w:tcW w:w="964" w:type="dxa"/>
            <w:vAlign w:val="center"/>
          </w:tcPr>
          <w:p w:rsidR="00054BD3" w:rsidRPr="00261A05" w:rsidRDefault="00054BD3" w:rsidP="00261A05">
            <w:pPr>
              <w:ind w:right="42"/>
              <w:jc w:val="center"/>
              <w:rPr>
                <w:b/>
                <w:bCs/>
              </w:rPr>
            </w:pPr>
            <w:r w:rsidRPr="00261A05">
              <w:rPr>
                <w:b/>
                <w:bCs/>
                <w:sz w:val="22"/>
                <w:szCs w:val="22"/>
              </w:rPr>
              <w:t>4,0</w:t>
            </w:r>
          </w:p>
        </w:tc>
        <w:tc>
          <w:tcPr>
            <w:tcW w:w="964" w:type="dxa"/>
            <w:vAlign w:val="center"/>
          </w:tcPr>
          <w:p w:rsidR="00054BD3" w:rsidRPr="00261A05" w:rsidRDefault="00054BD3" w:rsidP="00261A05">
            <w:pPr>
              <w:ind w:right="42"/>
              <w:jc w:val="center"/>
              <w:rPr>
                <w:b/>
                <w:bCs/>
              </w:rPr>
            </w:pPr>
            <w:r w:rsidRPr="00261A05">
              <w:rPr>
                <w:b/>
                <w:bCs/>
                <w:sz w:val="22"/>
                <w:szCs w:val="22"/>
              </w:rPr>
              <w:t>-11,6</w:t>
            </w:r>
          </w:p>
        </w:tc>
        <w:tc>
          <w:tcPr>
            <w:tcW w:w="964" w:type="dxa"/>
            <w:vAlign w:val="center"/>
          </w:tcPr>
          <w:p w:rsidR="00054BD3" w:rsidRPr="00261A05" w:rsidRDefault="00054BD3" w:rsidP="00261A05">
            <w:pPr>
              <w:ind w:right="42"/>
              <w:jc w:val="center"/>
              <w:rPr>
                <w:b/>
                <w:bCs/>
              </w:rPr>
            </w:pPr>
            <w:r w:rsidRPr="00261A05">
              <w:rPr>
                <w:b/>
                <w:bCs/>
                <w:sz w:val="22"/>
                <w:szCs w:val="22"/>
              </w:rPr>
              <w:t>10,3</w:t>
            </w:r>
          </w:p>
        </w:tc>
        <w:tc>
          <w:tcPr>
            <w:tcW w:w="965" w:type="dxa"/>
            <w:vAlign w:val="center"/>
          </w:tcPr>
          <w:p w:rsidR="00054BD3" w:rsidRPr="00261A05" w:rsidRDefault="00054BD3" w:rsidP="00261A05">
            <w:pPr>
              <w:ind w:right="42"/>
              <w:jc w:val="center"/>
              <w:rPr>
                <w:b/>
                <w:bCs/>
              </w:rPr>
            </w:pPr>
            <w:r w:rsidRPr="00261A05">
              <w:rPr>
                <w:b/>
                <w:bCs/>
                <w:sz w:val="22"/>
                <w:szCs w:val="22"/>
              </w:rPr>
              <w:t>-2,4</w:t>
            </w:r>
          </w:p>
        </w:tc>
        <w:tc>
          <w:tcPr>
            <w:tcW w:w="964" w:type="dxa"/>
            <w:tcBorders>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left w:val="double" w:sz="4" w:space="0" w:color="auto"/>
            </w:tcBorders>
            <w:vAlign w:val="center"/>
          </w:tcPr>
          <w:p w:rsidR="00054BD3" w:rsidRPr="00261A05" w:rsidRDefault="00054BD3" w:rsidP="00261A05">
            <w:pPr>
              <w:ind w:right="42"/>
              <w:jc w:val="center"/>
              <w:rPr>
                <w:b/>
                <w:bCs/>
              </w:rPr>
            </w:pPr>
            <w:r w:rsidRPr="00261A05">
              <w:rPr>
                <w:b/>
                <w:bCs/>
                <w:sz w:val="22"/>
                <w:szCs w:val="22"/>
              </w:rPr>
              <w:t>0,6</w:t>
            </w:r>
          </w:p>
        </w:tc>
        <w:tc>
          <w:tcPr>
            <w:tcW w:w="965" w:type="dxa"/>
            <w:vAlign w:val="center"/>
          </w:tcPr>
          <w:p w:rsidR="00054BD3" w:rsidRPr="00261A05" w:rsidRDefault="00054BD3" w:rsidP="00261A05">
            <w:pPr>
              <w:ind w:right="42"/>
              <w:jc w:val="center"/>
              <w:rPr>
                <w:b/>
                <w:bCs/>
              </w:rPr>
            </w:pPr>
            <w:r w:rsidRPr="00261A05">
              <w:rPr>
                <w:b/>
                <w:bCs/>
                <w:sz w:val="22"/>
                <w:szCs w:val="22"/>
              </w:rPr>
              <w:t>1,6</w:t>
            </w:r>
          </w:p>
        </w:tc>
      </w:tr>
      <w:tr w:rsidR="00054BD3" w:rsidTr="00226D50">
        <w:trPr>
          <w:trHeight w:val="370"/>
        </w:trPr>
        <w:tc>
          <w:tcPr>
            <w:tcW w:w="3330" w:type="dxa"/>
            <w:tcBorders>
              <w:bottom w:val="nil"/>
            </w:tcBorders>
            <w:vAlign w:val="center"/>
          </w:tcPr>
          <w:p w:rsidR="00054BD3" w:rsidRPr="00261A05" w:rsidRDefault="00054BD3" w:rsidP="00261A05">
            <w:pPr>
              <w:ind w:right="42"/>
              <w:jc w:val="center"/>
              <w:rPr>
                <w:b/>
                <w:bCs/>
              </w:rPr>
            </w:pPr>
            <w:r w:rsidRPr="00261A05">
              <w:rPr>
                <w:b/>
                <w:bCs/>
                <w:sz w:val="22"/>
                <w:szCs w:val="22"/>
              </w:rPr>
              <w:t xml:space="preserve">Sanayi üretim endeksi (SÜE) </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1,0</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-3,5</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2,4</w:t>
            </w:r>
          </w:p>
        </w:tc>
        <w:tc>
          <w:tcPr>
            <w:tcW w:w="965" w:type="dxa"/>
            <w:tcBorders>
              <w:bottom w:val="nil"/>
            </w:tcBorders>
            <w:vAlign w:val="center"/>
          </w:tcPr>
          <w:p w:rsidR="00054BD3" w:rsidRPr="00261A05" w:rsidRDefault="00054BD3" w:rsidP="00261A05">
            <w:pPr>
              <w:ind w:right="42"/>
              <w:jc w:val="center"/>
              <w:rPr>
                <w:b/>
                <w:bCs/>
              </w:rPr>
            </w:pPr>
            <w:r w:rsidRPr="00261A05">
              <w:rPr>
                <w:b/>
                <w:bCs/>
                <w:sz w:val="22"/>
                <w:szCs w:val="22"/>
              </w:rPr>
              <w:t>1,5</w:t>
            </w:r>
          </w:p>
        </w:tc>
        <w:tc>
          <w:tcPr>
            <w:tcW w:w="964" w:type="dxa"/>
            <w:tcBorders>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left w:val="double" w:sz="4" w:space="0" w:color="auto"/>
              <w:bottom w:val="nil"/>
            </w:tcBorders>
            <w:vAlign w:val="center"/>
          </w:tcPr>
          <w:p w:rsidR="00054BD3" w:rsidRPr="00261A05" w:rsidRDefault="00054BD3" w:rsidP="00261A05">
            <w:pPr>
              <w:ind w:right="42"/>
              <w:jc w:val="center"/>
              <w:rPr>
                <w:b/>
                <w:bCs/>
              </w:rPr>
            </w:pPr>
            <w:r w:rsidRPr="00261A05">
              <w:rPr>
                <w:b/>
                <w:bCs/>
                <w:sz w:val="22"/>
                <w:szCs w:val="22"/>
              </w:rPr>
              <w:t>0,9</w:t>
            </w:r>
          </w:p>
        </w:tc>
        <w:tc>
          <w:tcPr>
            <w:tcW w:w="965" w:type="dxa"/>
            <w:tcBorders>
              <w:bottom w:val="nil"/>
            </w:tcBorders>
            <w:vAlign w:val="center"/>
          </w:tcPr>
          <w:p w:rsidR="00054BD3" w:rsidRPr="00261A05" w:rsidRDefault="00054BD3" w:rsidP="00261A05">
            <w:pPr>
              <w:ind w:right="42"/>
              <w:jc w:val="center"/>
              <w:rPr>
                <w:b/>
                <w:bCs/>
              </w:rPr>
            </w:pPr>
            <w:r w:rsidRPr="00261A05">
              <w:rPr>
                <w:b/>
                <w:bCs/>
                <w:sz w:val="22"/>
                <w:szCs w:val="22"/>
              </w:rPr>
              <w:t>1,1</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Dayanıksız tüketim malı imalatı</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0,1</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-0,2</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2,1</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0,5</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-0,1</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2,3</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rPr>
                <w:b/>
                <w:bCs/>
              </w:rPr>
            </w:pPr>
            <w:r w:rsidRPr="00261A05">
              <w:rPr>
                <w:sz w:val="22"/>
                <w:szCs w:val="22"/>
              </w:rPr>
              <w:t>Dayanıklı tüketim malı imalatı</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7,1</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-9,2</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-0,7</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3,2</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-0,9</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-3,2</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Ara malı imalatı</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2,8</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-6,1</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3,3</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1,4</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2,6</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0,6</w:t>
            </w:r>
          </w:p>
        </w:tc>
      </w:tr>
      <w:tr w:rsidR="00054BD3" w:rsidTr="00226D50">
        <w:trPr>
          <w:trHeight w:val="370"/>
        </w:trPr>
        <w:tc>
          <w:tcPr>
            <w:tcW w:w="3330" w:type="dxa"/>
            <w:tcBorders>
              <w:top w:val="nil"/>
            </w:tcBorders>
            <w:vAlign w:val="center"/>
          </w:tcPr>
          <w:p w:rsidR="00054BD3" w:rsidRPr="00261A05" w:rsidRDefault="00054BD3" w:rsidP="00261A05">
            <w:pPr>
              <w:ind w:right="42"/>
              <w:jc w:val="center"/>
            </w:pPr>
            <w:r w:rsidRPr="00261A05">
              <w:rPr>
                <w:sz w:val="22"/>
                <w:szCs w:val="22"/>
              </w:rPr>
              <w:t>Yatırım malı imalatı</w:t>
            </w:r>
          </w:p>
        </w:tc>
        <w:tc>
          <w:tcPr>
            <w:tcW w:w="964" w:type="dxa"/>
            <w:tcBorders>
              <w:top w:val="nil"/>
            </w:tcBorders>
            <w:vAlign w:val="center"/>
          </w:tcPr>
          <w:p w:rsidR="00054BD3" w:rsidRPr="00261A05" w:rsidRDefault="00054BD3" w:rsidP="00261A05">
            <w:pPr>
              <w:ind w:right="42"/>
              <w:jc w:val="center"/>
            </w:pPr>
            <w:r w:rsidRPr="00261A05">
              <w:rPr>
                <w:sz w:val="22"/>
                <w:szCs w:val="22"/>
              </w:rPr>
              <w:t>-0,8</w:t>
            </w:r>
          </w:p>
        </w:tc>
        <w:tc>
          <w:tcPr>
            <w:tcW w:w="964" w:type="dxa"/>
            <w:tcBorders>
              <w:top w:val="nil"/>
            </w:tcBorders>
            <w:vAlign w:val="center"/>
          </w:tcPr>
          <w:p w:rsidR="00054BD3" w:rsidRPr="00261A05" w:rsidRDefault="00054BD3" w:rsidP="00261A05">
            <w:pPr>
              <w:ind w:right="42"/>
              <w:jc w:val="center"/>
            </w:pPr>
            <w:r w:rsidRPr="00261A05">
              <w:rPr>
                <w:sz w:val="22"/>
                <w:szCs w:val="22"/>
              </w:rPr>
              <w:t>-2,1</w:t>
            </w:r>
          </w:p>
        </w:tc>
        <w:tc>
          <w:tcPr>
            <w:tcW w:w="964" w:type="dxa"/>
            <w:tcBorders>
              <w:top w:val="nil"/>
            </w:tcBorders>
            <w:vAlign w:val="center"/>
          </w:tcPr>
          <w:p w:rsidR="00054BD3" w:rsidRPr="00261A05" w:rsidRDefault="00054BD3" w:rsidP="00261A05">
            <w:pPr>
              <w:ind w:right="42"/>
              <w:jc w:val="center"/>
            </w:pPr>
            <w:r w:rsidRPr="00261A05">
              <w:rPr>
                <w:sz w:val="22"/>
                <w:szCs w:val="22"/>
              </w:rPr>
              <w:t>2,5</w:t>
            </w:r>
          </w:p>
        </w:tc>
        <w:tc>
          <w:tcPr>
            <w:tcW w:w="965" w:type="dxa"/>
            <w:tcBorders>
              <w:top w:val="nil"/>
            </w:tcBorders>
            <w:vAlign w:val="center"/>
          </w:tcPr>
          <w:p w:rsidR="00054BD3" w:rsidRPr="00261A05" w:rsidRDefault="00054BD3" w:rsidP="00261A05">
            <w:pPr>
              <w:ind w:right="42"/>
              <w:jc w:val="center"/>
            </w:pPr>
            <w:r w:rsidRPr="00261A05">
              <w:rPr>
                <w:sz w:val="22"/>
                <w:szCs w:val="22"/>
              </w:rPr>
              <w:t>5,9</w:t>
            </w:r>
          </w:p>
        </w:tc>
        <w:tc>
          <w:tcPr>
            <w:tcW w:w="964" w:type="dxa"/>
            <w:tcBorders>
              <w:top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tcBorders>
            <w:vAlign w:val="center"/>
          </w:tcPr>
          <w:p w:rsidR="00054BD3" w:rsidRPr="00261A05" w:rsidRDefault="00054BD3" w:rsidP="00261A05">
            <w:pPr>
              <w:ind w:right="42"/>
              <w:jc w:val="center"/>
            </w:pPr>
            <w:r w:rsidRPr="00261A05">
              <w:rPr>
                <w:sz w:val="22"/>
                <w:szCs w:val="22"/>
              </w:rPr>
              <w:t>2,6</w:t>
            </w:r>
          </w:p>
        </w:tc>
        <w:tc>
          <w:tcPr>
            <w:tcW w:w="965" w:type="dxa"/>
            <w:tcBorders>
              <w:top w:val="nil"/>
            </w:tcBorders>
            <w:vAlign w:val="center"/>
          </w:tcPr>
          <w:p w:rsidR="00054BD3" w:rsidRPr="00261A05" w:rsidRDefault="00054BD3" w:rsidP="00261A05">
            <w:pPr>
              <w:ind w:right="42"/>
              <w:jc w:val="center"/>
            </w:pPr>
            <w:r w:rsidRPr="00261A05">
              <w:rPr>
                <w:sz w:val="22"/>
                <w:szCs w:val="22"/>
              </w:rPr>
              <w:t>3,7</w:t>
            </w:r>
          </w:p>
        </w:tc>
      </w:tr>
      <w:tr w:rsidR="00054BD3" w:rsidTr="00226D50">
        <w:trPr>
          <w:trHeight w:val="370"/>
        </w:trPr>
        <w:tc>
          <w:tcPr>
            <w:tcW w:w="3330" w:type="dxa"/>
            <w:tcBorders>
              <w:bottom w:val="nil"/>
            </w:tcBorders>
            <w:vAlign w:val="center"/>
          </w:tcPr>
          <w:p w:rsidR="00054BD3" w:rsidRPr="00261A05" w:rsidRDefault="00054BD3" w:rsidP="00261A05">
            <w:pPr>
              <w:ind w:right="42"/>
              <w:jc w:val="center"/>
              <w:rPr>
                <w:b/>
                <w:bCs/>
              </w:rPr>
            </w:pPr>
            <w:r w:rsidRPr="00261A05">
              <w:rPr>
                <w:b/>
                <w:bCs/>
                <w:sz w:val="22"/>
                <w:szCs w:val="22"/>
              </w:rPr>
              <w:t>Kapasite kullanım oranı (KKO)</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-0,9</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0,3</w:t>
            </w:r>
          </w:p>
        </w:tc>
        <w:tc>
          <w:tcPr>
            <w:tcW w:w="964" w:type="dxa"/>
            <w:tcBorders>
              <w:bottom w:val="nil"/>
            </w:tcBorders>
            <w:vAlign w:val="center"/>
          </w:tcPr>
          <w:p w:rsidR="00054BD3" w:rsidRPr="00261A05" w:rsidRDefault="00054BD3" w:rsidP="00261A05">
            <w:pPr>
              <w:ind w:right="42"/>
              <w:jc w:val="center"/>
              <w:rPr>
                <w:b/>
                <w:bCs/>
              </w:rPr>
            </w:pPr>
            <w:r w:rsidRPr="00261A05">
              <w:rPr>
                <w:b/>
                <w:bCs/>
                <w:sz w:val="22"/>
                <w:szCs w:val="22"/>
              </w:rPr>
              <w:t>-0,5</w:t>
            </w:r>
          </w:p>
        </w:tc>
        <w:tc>
          <w:tcPr>
            <w:tcW w:w="965" w:type="dxa"/>
            <w:tcBorders>
              <w:bottom w:val="nil"/>
            </w:tcBorders>
            <w:vAlign w:val="center"/>
          </w:tcPr>
          <w:p w:rsidR="00054BD3" w:rsidRPr="00261A05" w:rsidRDefault="00054BD3" w:rsidP="00261A05">
            <w:pPr>
              <w:ind w:right="42"/>
              <w:jc w:val="center"/>
              <w:rPr>
                <w:b/>
                <w:bCs/>
              </w:rPr>
            </w:pPr>
            <w:r w:rsidRPr="00261A05">
              <w:rPr>
                <w:b/>
                <w:bCs/>
                <w:sz w:val="22"/>
                <w:szCs w:val="22"/>
              </w:rPr>
              <w:t>0,2</w:t>
            </w:r>
          </w:p>
        </w:tc>
        <w:tc>
          <w:tcPr>
            <w:tcW w:w="964" w:type="dxa"/>
            <w:tcBorders>
              <w:bottom w:val="nil"/>
              <w:right w:val="double" w:sz="4" w:space="0" w:color="auto"/>
            </w:tcBorders>
            <w:vAlign w:val="center"/>
          </w:tcPr>
          <w:p w:rsidR="00054BD3" w:rsidRPr="00261A05" w:rsidRDefault="00054BD3" w:rsidP="00261A05">
            <w:pPr>
              <w:ind w:right="42"/>
              <w:jc w:val="center"/>
              <w:rPr>
                <w:b/>
                <w:bCs/>
              </w:rPr>
            </w:pPr>
            <w:r w:rsidRPr="00261A05">
              <w:rPr>
                <w:b/>
                <w:bCs/>
                <w:sz w:val="22"/>
                <w:szCs w:val="22"/>
              </w:rPr>
              <w:t>0,7</w:t>
            </w:r>
          </w:p>
        </w:tc>
        <w:tc>
          <w:tcPr>
            <w:tcW w:w="964" w:type="dxa"/>
            <w:tcBorders>
              <w:left w:val="double" w:sz="4" w:space="0" w:color="auto"/>
              <w:bottom w:val="nil"/>
            </w:tcBorders>
            <w:vAlign w:val="center"/>
          </w:tcPr>
          <w:p w:rsidR="00054BD3" w:rsidRPr="00261A05" w:rsidRDefault="00054BD3" w:rsidP="00261A05">
            <w:pPr>
              <w:ind w:right="42"/>
              <w:jc w:val="center"/>
              <w:rPr>
                <w:b/>
                <w:bCs/>
              </w:rPr>
            </w:pPr>
            <w:r w:rsidRPr="00261A05">
              <w:rPr>
                <w:b/>
                <w:bCs/>
                <w:sz w:val="22"/>
                <w:szCs w:val="22"/>
              </w:rPr>
              <w:t>-0,2</w:t>
            </w:r>
          </w:p>
        </w:tc>
        <w:tc>
          <w:tcPr>
            <w:tcW w:w="965" w:type="dxa"/>
            <w:tcBorders>
              <w:bottom w:val="nil"/>
            </w:tcBorders>
            <w:vAlign w:val="center"/>
          </w:tcPr>
          <w:p w:rsidR="00054BD3" w:rsidRPr="00261A05" w:rsidRDefault="00054BD3" w:rsidP="00261A05">
            <w:pPr>
              <w:ind w:right="42"/>
              <w:jc w:val="center"/>
              <w:rPr>
                <w:b/>
                <w:bCs/>
              </w:rPr>
            </w:pPr>
            <w:r w:rsidRPr="00261A05">
              <w:rPr>
                <w:b/>
                <w:bCs/>
                <w:sz w:val="22"/>
                <w:szCs w:val="22"/>
              </w:rPr>
              <w:t>-0,2</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Dayanıksız tüketim malı imalatı</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0,2</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0,1</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0,8</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0,6</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-0,2</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0,3</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1,3</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rPr>
                <w:b/>
                <w:bCs/>
              </w:rPr>
            </w:pPr>
            <w:r w:rsidRPr="00261A05">
              <w:rPr>
                <w:sz w:val="22"/>
                <w:szCs w:val="22"/>
              </w:rPr>
              <w:t>Dayanıklı tüketim malı imalatı</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-1,3</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-0,1</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1,0</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-0,3</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1,6</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-1,4</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0,8</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Ara malı imalatı</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-0,5</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1,7</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-1,6</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-0,1</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0,3</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0,2</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-0,6</w:t>
            </w:r>
          </w:p>
        </w:tc>
      </w:tr>
      <w:tr w:rsidR="00054BD3" w:rsidTr="00226D50">
        <w:trPr>
          <w:trHeight w:val="370"/>
        </w:trPr>
        <w:tc>
          <w:tcPr>
            <w:tcW w:w="3330" w:type="dxa"/>
            <w:tcBorders>
              <w:top w:val="nil"/>
            </w:tcBorders>
            <w:vAlign w:val="center"/>
          </w:tcPr>
          <w:p w:rsidR="00054BD3" w:rsidRPr="00261A05" w:rsidRDefault="00054BD3" w:rsidP="00261A05">
            <w:pPr>
              <w:ind w:right="42"/>
              <w:jc w:val="center"/>
            </w:pPr>
            <w:r w:rsidRPr="00261A05">
              <w:rPr>
                <w:sz w:val="22"/>
                <w:szCs w:val="22"/>
              </w:rPr>
              <w:t>Yatırım malı imalatı</w:t>
            </w:r>
          </w:p>
        </w:tc>
        <w:tc>
          <w:tcPr>
            <w:tcW w:w="964" w:type="dxa"/>
            <w:tcBorders>
              <w:top w:val="nil"/>
            </w:tcBorders>
            <w:vAlign w:val="center"/>
          </w:tcPr>
          <w:p w:rsidR="00054BD3" w:rsidRPr="00261A05" w:rsidRDefault="00054BD3" w:rsidP="00261A05">
            <w:pPr>
              <w:ind w:right="42"/>
              <w:jc w:val="center"/>
            </w:pPr>
            <w:r w:rsidRPr="00261A05">
              <w:rPr>
                <w:sz w:val="22"/>
                <w:szCs w:val="22"/>
              </w:rPr>
              <w:t>-0,3</w:t>
            </w:r>
          </w:p>
        </w:tc>
        <w:tc>
          <w:tcPr>
            <w:tcW w:w="964" w:type="dxa"/>
            <w:tcBorders>
              <w:top w:val="nil"/>
            </w:tcBorders>
            <w:vAlign w:val="center"/>
          </w:tcPr>
          <w:p w:rsidR="00054BD3" w:rsidRPr="00261A05" w:rsidRDefault="00054BD3" w:rsidP="00261A05">
            <w:pPr>
              <w:ind w:right="42"/>
              <w:jc w:val="center"/>
            </w:pPr>
            <w:r w:rsidRPr="00261A05">
              <w:rPr>
                <w:sz w:val="22"/>
                <w:szCs w:val="22"/>
              </w:rPr>
              <w:t>2,2</w:t>
            </w:r>
          </w:p>
        </w:tc>
        <w:tc>
          <w:tcPr>
            <w:tcW w:w="964" w:type="dxa"/>
            <w:tcBorders>
              <w:top w:val="nil"/>
            </w:tcBorders>
            <w:vAlign w:val="center"/>
          </w:tcPr>
          <w:p w:rsidR="00054BD3" w:rsidRPr="00261A05" w:rsidRDefault="00054BD3" w:rsidP="00261A05">
            <w:pPr>
              <w:ind w:right="42"/>
              <w:jc w:val="center"/>
            </w:pPr>
            <w:r w:rsidRPr="00261A05">
              <w:rPr>
                <w:sz w:val="22"/>
                <w:szCs w:val="22"/>
              </w:rPr>
              <w:t>-1,1</w:t>
            </w:r>
          </w:p>
        </w:tc>
        <w:tc>
          <w:tcPr>
            <w:tcW w:w="965" w:type="dxa"/>
            <w:tcBorders>
              <w:top w:val="nil"/>
            </w:tcBorders>
            <w:vAlign w:val="center"/>
          </w:tcPr>
          <w:p w:rsidR="00054BD3" w:rsidRPr="00261A05" w:rsidRDefault="00054BD3" w:rsidP="00261A05">
            <w:pPr>
              <w:ind w:right="42"/>
              <w:jc w:val="center"/>
            </w:pPr>
            <w:r w:rsidRPr="00261A05">
              <w:rPr>
                <w:sz w:val="22"/>
                <w:szCs w:val="22"/>
              </w:rPr>
              <w:t>1,1</w:t>
            </w:r>
          </w:p>
        </w:tc>
        <w:tc>
          <w:tcPr>
            <w:tcW w:w="964" w:type="dxa"/>
            <w:tcBorders>
              <w:top w:val="nil"/>
              <w:right w:val="double" w:sz="4" w:space="0" w:color="auto"/>
            </w:tcBorders>
            <w:vAlign w:val="center"/>
          </w:tcPr>
          <w:p w:rsidR="00054BD3" w:rsidRPr="00261A05" w:rsidRDefault="00054BD3" w:rsidP="00261A05">
            <w:pPr>
              <w:ind w:right="42"/>
              <w:jc w:val="center"/>
            </w:pPr>
            <w:r w:rsidRPr="00261A05">
              <w:rPr>
                <w:sz w:val="22"/>
                <w:szCs w:val="22"/>
              </w:rPr>
              <w:t>0,5</w:t>
            </w:r>
          </w:p>
        </w:tc>
        <w:tc>
          <w:tcPr>
            <w:tcW w:w="964" w:type="dxa"/>
            <w:tcBorders>
              <w:top w:val="nil"/>
              <w:left w:val="double" w:sz="4" w:space="0" w:color="auto"/>
            </w:tcBorders>
            <w:vAlign w:val="center"/>
          </w:tcPr>
          <w:p w:rsidR="00054BD3" w:rsidRPr="00261A05" w:rsidRDefault="00054BD3" w:rsidP="00261A05">
            <w:pPr>
              <w:ind w:right="42"/>
              <w:jc w:val="center"/>
            </w:pPr>
            <w:r w:rsidRPr="00261A05">
              <w:rPr>
                <w:sz w:val="22"/>
                <w:szCs w:val="22"/>
              </w:rPr>
              <w:t>0,6</w:t>
            </w:r>
          </w:p>
        </w:tc>
        <w:tc>
          <w:tcPr>
            <w:tcW w:w="965" w:type="dxa"/>
            <w:tcBorders>
              <w:top w:val="nil"/>
            </w:tcBorders>
            <w:vAlign w:val="center"/>
          </w:tcPr>
          <w:p w:rsidR="00054BD3" w:rsidRPr="00261A05" w:rsidRDefault="00054BD3" w:rsidP="00261A05">
            <w:pPr>
              <w:ind w:right="42"/>
              <w:jc w:val="center"/>
            </w:pPr>
            <w:r w:rsidRPr="00261A05">
              <w:rPr>
                <w:sz w:val="22"/>
                <w:szCs w:val="22"/>
              </w:rPr>
              <w:t>1,2</w:t>
            </w:r>
          </w:p>
        </w:tc>
      </w:tr>
      <w:tr w:rsidR="00054BD3" w:rsidTr="00226D50">
        <w:trPr>
          <w:trHeight w:val="370"/>
        </w:trPr>
        <w:tc>
          <w:tcPr>
            <w:tcW w:w="3330" w:type="dxa"/>
            <w:tcBorders>
              <w:bottom w:val="nil"/>
            </w:tcBorders>
            <w:vAlign w:val="center"/>
          </w:tcPr>
          <w:p w:rsidR="00054BD3" w:rsidRPr="00261A05" w:rsidRDefault="00054BD3" w:rsidP="00261A05">
            <w:pPr>
              <w:ind w:right="42"/>
              <w:jc w:val="center"/>
              <w:rPr>
                <w:b/>
                <w:bCs/>
              </w:rPr>
            </w:pPr>
            <w:r w:rsidRPr="00261A05">
              <w:rPr>
                <w:b/>
                <w:bCs/>
                <w:sz w:val="22"/>
                <w:szCs w:val="22"/>
              </w:rPr>
              <w:t>Beklenti göstergeleri</w:t>
            </w:r>
          </w:p>
        </w:tc>
        <w:tc>
          <w:tcPr>
            <w:tcW w:w="964" w:type="dxa"/>
            <w:tcBorders>
              <w:bottom w:val="nil"/>
            </w:tcBorders>
            <w:vAlign w:val="center"/>
          </w:tcPr>
          <w:p w:rsidR="00054BD3" w:rsidRPr="00261A05" w:rsidRDefault="00054BD3" w:rsidP="00261A05">
            <w:pPr>
              <w:ind w:right="42"/>
              <w:jc w:val="center"/>
              <w:rPr>
                <w:b/>
                <w:bCs/>
              </w:rPr>
            </w:pPr>
          </w:p>
        </w:tc>
        <w:tc>
          <w:tcPr>
            <w:tcW w:w="964" w:type="dxa"/>
            <w:tcBorders>
              <w:bottom w:val="nil"/>
            </w:tcBorders>
            <w:vAlign w:val="center"/>
          </w:tcPr>
          <w:p w:rsidR="00054BD3" w:rsidRPr="00261A05" w:rsidRDefault="00054BD3" w:rsidP="00261A05">
            <w:pPr>
              <w:ind w:right="42"/>
              <w:jc w:val="center"/>
              <w:rPr>
                <w:b/>
                <w:bCs/>
              </w:rPr>
            </w:pPr>
          </w:p>
        </w:tc>
        <w:tc>
          <w:tcPr>
            <w:tcW w:w="964" w:type="dxa"/>
            <w:tcBorders>
              <w:bottom w:val="nil"/>
            </w:tcBorders>
            <w:vAlign w:val="center"/>
          </w:tcPr>
          <w:p w:rsidR="00054BD3" w:rsidRPr="00261A05" w:rsidRDefault="00054BD3" w:rsidP="00261A05">
            <w:pPr>
              <w:ind w:right="42"/>
              <w:jc w:val="center"/>
              <w:rPr>
                <w:b/>
                <w:bCs/>
              </w:rPr>
            </w:pPr>
          </w:p>
        </w:tc>
        <w:tc>
          <w:tcPr>
            <w:tcW w:w="965" w:type="dxa"/>
            <w:tcBorders>
              <w:bottom w:val="nil"/>
            </w:tcBorders>
            <w:vAlign w:val="center"/>
          </w:tcPr>
          <w:p w:rsidR="00054BD3" w:rsidRPr="00261A05" w:rsidRDefault="00054BD3" w:rsidP="00261A05">
            <w:pPr>
              <w:ind w:right="42"/>
              <w:jc w:val="center"/>
              <w:rPr>
                <w:b/>
                <w:bCs/>
              </w:rPr>
            </w:pPr>
          </w:p>
        </w:tc>
        <w:tc>
          <w:tcPr>
            <w:tcW w:w="964" w:type="dxa"/>
            <w:tcBorders>
              <w:bottom w:val="nil"/>
              <w:right w:val="double" w:sz="4" w:space="0" w:color="auto"/>
            </w:tcBorders>
            <w:vAlign w:val="center"/>
          </w:tcPr>
          <w:p w:rsidR="00054BD3" w:rsidRPr="00261A05" w:rsidRDefault="00054BD3" w:rsidP="00261A05">
            <w:pPr>
              <w:ind w:right="42"/>
              <w:jc w:val="center"/>
              <w:rPr>
                <w:b/>
                <w:bCs/>
              </w:rPr>
            </w:pPr>
          </w:p>
        </w:tc>
        <w:tc>
          <w:tcPr>
            <w:tcW w:w="964" w:type="dxa"/>
            <w:tcBorders>
              <w:left w:val="double" w:sz="4" w:space="0" w:color="auto"/>
              <w:bottom w:val="nil"/>
            </w:tcBorders>
            <w:vAlign w:val="center"/>
          </w:tcPr>
          <w:p w:rsidR="00054BD3" w:rsidRPr="00261A05" w:rsidRDefault="00054BD3" w:rsidP="00261A05">
            <w:pPr>
              <w:ind w:right="42"/>
              <w:jc w:val="center"/>
              <w:rPr>
                <w:b/>
                <w:bCs/>
              </w:rPr>
            </w:pPr>
          </w:p>
        </w:tc>
        <w:tc>
          <w:tcPr>
            <w:tcW w:w="965" w:type="dxa"/>
            <w:tcBorders>
              <w:bottom w:val="nil"/>
            </w:tcBorders>
            <w:vAlign w:val="center"/>
          </w:tcPr>
          <w:p w:rsidR="00054BD3" w:rsidRPr="00261A05" w:rsidRDefault="00054BD3" w:rsidP="00261A05">
            <w:pPr>
              <w:ind w:right="42"/>
              <w:jc w:val="center"/>
              <w:rPr>
                <w:b/>
                <w:bCs/>
              </w:rPr>
            </w:pP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Tüketici güven endeksi (TÜİK)</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4,2</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0,3</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1,6</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-0,2</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-1,4</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-1,7</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2,6</w:t>
            </w:r>
          </w:p>
        </w:tc>
      </w:tr>
      <w:tr w:rsidR="00054BD3" w:rsidTr="00226D50">
        <w:trPr>
          <w:trHeight w:val="370"/>
        </w:trPr>
        <w:tc>
          <w:tcPr>
            <w:tcW w:w="3330" w:type="dxa"/>
            <w:tcBorders>
              <w:top w:val="nil"/>
            </w:tcBorders>
            <w:vAlign w:val="center"/>
          </w:tcPr>
          <w:p w:rsidR="00054BD3" w:rsidRPr="00261A05" w:rsidRDefault="00054BD3" w:rsidP="00261A05">
            <w:pPr>
              <w:ind w:right="42"/>
              <w:jc w:val="center"/>
            </w:pPr>
            <w:r w:rsidRPr="00261A05">
              <w:rPr>
                <w:sz w:val="22"/>
                <w:szCs w:val="22"/>
              </w:rPr>
              <w:t>Reel kesim güven endeksi</w:t>
            </w:r>
          </w:p>
        </w:tc>
        <w:tc>
          <w:tcPr>
            <w:tcW w:w="964" w:type="dxa"/>
            <w:tcBorders>
              <w:top w:val="nil"/>
            </w:tcBorders>
            <w:vAlign w:val="center"/>
          </w:tcPr>
          <w:p w:rsidR="00054BD3" w:rsidRPr="00261A05" w:rsidRDefault="00054BD3" w:rsidP="00261A05">
            <w:pPr>
              <w:ind w:right="42"/>
              <w:jc w:val="center"/>
            </w:pPr>
            <w:r w:rsidRPr="00261A05">
              <w:rPr>
                <w:sz w:val="22"/>
                <w:szCs w:val="22"/>
              </w:rPr>
              <w:t>1,1</w:t>
            </w:r>
          </w:p>
        </w:tc>
        <w:tc>
          <w:tcPr>
            <w:tcW w:w="964" w:type="dxa"/>
            <w:tcBorders>
              <w:top w:val="nil"/>
            </w:tcBorders>
            <w:vAlign w:val="center"/>
          </w:tcPr>
          <w:p w:rsidR="00054BD3" w:rsidRPr="00261A05" w:rsidRDefault="00054BD3" w:rsidP="00261A05">
            <w:pPr>
              <w:ind w:right="42"/>
              <w:jc w:val="center"/>
            </w:pPr>
            <w:r w:rsidRPr="00261A05">
              <w:rPr>
                <w:sz w:val="22"/>
                <w:szCs w:val="22"/>
              </w:rPr>
              <w:t>-1,4</w:t>
            </w:r>
          </w:p>
        </w:tc>
        <w:tc>
          <w:tcPr>
            <w:tcW w:w="964" w:type="dxa"/>
            <w:tcBorders>
              <w:top w:val="nil"/>
            </w:tcBorders>
            <w:vAlign w:val="center"/>
          </w:tcPr>
          <w:p w:rsidR="00054BD3" w:rsidRPr="00261A05" w:rsidRDefault="00054BD3" w:rsidP="00261A05">
            <w:pPr>
              <w:ind w:right="42"/>
              <w:jc w:val="center"/>
            </w:pPr>
            <w:r w:rsidRPr="00261A05">
              <w:rPr>
                <w:sz w:val="22"/>
                <w:szCs w:val="22"/>
              </w:rPr>
              <w:t>-2,2</w:t>
            </w:r>
          </w:p>
        </w:tc>
        <w:tc>
          <w:tcPr>
            <w:tcW w:w="965" w:type="dxa"/>
            <w:tcBorders>
              <w:top w:val="nil"/>
            </w:tcBorders>
            <w:vAlign w:val="center"/>
          </w:tcPr>
          <w:p w:rsidR="00054BD3" w:rsidRPr="00261A05" w:rsidRDefault="00054BD3" w:rsidP="00261A05">
            <w:pPr>
              <w:ind w:right="42"/>
              <w:jc w:val="center"/>
            </w:pPr>
            <w:r w:rsidRPr="00261A05">
              <w:rPr>
                <w:sz w:val="22"/>
                <w:szCs w:val="22"/>
              </w:rPr>
              <w:t>2,6</w:t>
            </w:r>
          </w:p>
        </w:tc>
        <w:tc>
          <w:tcPr>
            <w:tcW w:w="964" w:type="dxa"/>
            <w:tcBorders>
              <w:top w:val="nil"/>
              <w:right w:val="double" w:sz="4" w:space="0" w:color="auto"/>
            </w:tcBorders>
            <w:vAlign w:val="center"/>
          </w:tcPr>
          <w:p w:rsidR="00054BD3" w:rsidRPr="00261A05" w:rsidRDefault="00054BD3" w:rsidP="00261A05">
            <w:pPr>
              <w:ind w:right="42"/>
              <w:jc w:val="center"/>
            </w:pPr>
            <w:r w:rsidRPr="00261A05">
              <w:rPr>
                <w:sz w:val="22"/>
                <w:szCs w:val="22"/>
              </w:rPr>
              <w:t>0,8</w:t>
            </w:r>
          </w:p>
        </w:tc>
        <w:tc>
          <w:tcPr>
            <w:tcW w:w="964" w:type="dxa"/>
            <w:tcBorders>
              <w:top w:val="nil"/>
              <w:left w:val="double" w:sz="4" w:space="0" w:color="auto"/>
            </w:tcBorders>
            <w:vAlign w:val="center"/>
          </w:tcPr>
          <w:p w:rsidR="00054BD3" w:rsidRPr="00261A05" w:rsidRDefault="00054BD3" w:rsidP="00261A05">
            <w:pPr>
              <w:ind w:right="42"/>
              <w:jc w:val="center"/>
            </w:pPr>
            <w:r w:rsidRPr="00261A05">
              <w:rPr>
                <w:sz w:val="22"/>
                <w:szCs w:val="22"/>
              </w:rPr>
              <w:t>4,6</w:t>
            </w:r>
          </w:p>
        </w:tc>
        <w:tc>
          <w:tcPr>
            <w:tcW w:w="965" w:type="dxa"/>
            <w:tcBorders>
              <w:top w:val="nil"/>
            </w:tcBorders>
            <w:vAlign w:val="center"/>
          </w:tcPr>
          <w:p w:rsidR="00054BD3" w:rsidRPr="00261A05" w:rsidRDefault="00054BD3" w:rsidP="00261A05">
            <w:pPr>
              <w:ind w:right="42"/>
              <w:jc w:val="center"/>
            </w:pPr>
            <w:r w:rsidRPr="00261A05">
              <w:rPr>
                <w:sz w:val="22"/>
                <w:szCs w:val="22"/>
              </w:rPr>
              <w:t>-0,8</w:t>
            </w:r>
          </w:p>
        </w:tc>
      </w:tr>
      <w:tr w:rsidR="00054BD3" w:rsidTr="00226D50">
        <w:trPr>
          <w:trHeight w:val="370"/>
        </w:trPr>
        <w:tc>
          <w:tcPr>
            <w:tcW w:w="3330" w:type="dxa"/>
            <w:tcBorders>
              <w:bottom w:val="nil"/>
            </w:tcBorders>
            <w:vAlign w:val="center"/>
          </w:tcPr>
          <w:p w:rsidR="00054BD3" w:rsidRPr="00261A05" w:rsidRDefault="00054BD3" w:rsidP="00261A05">
            <w:pPr>
              <w:ind w:right="42"/>
              <w:jc w:val="center"/>
              <w:rPr>
                <w:b/>
                <w:bCs/>
              </w:rPr>
            </w:pPr>
            <w:r w:rsidRPr="00261A05">
              <w:rPr>
                <w:b/>
                <w:bCs/>
                <w:sz w:val="22"/>
                <w:szCs w:val="22"/>
              </w:rPr>
              <w:t>Finansal göstergeler</w:t>
            </w:r>
          </w:p>
        </w:tc>
        <w:tc>
          <w:tcPr>
            <w:tcW w:w="964" w:type="dxa"/>
            <w:tcBorders>
              <w:bottom w:val="nil"/>
            </w:tcBorders>
            <w:vAlign w:val="center"/>
          </w:tcPr>
          <w:p w:rsidR="00054BD3" w:rsidRPr="00261A05" w:rsidRDefault="00054BD3" w:rsidP="00261A05">
            <w:pPr>
              <w:ind w:right="42"/>
              <w:jc w:val="center"/>
            </w:pPr>
          </w:p>
        </w:tc>
        <w:tc>
          <w:tcPr>
            <w:tcW w:w="964" w:type="dxa"/>
            <w:tcBorders>
              <w:bottom w:val="nil"/>
            </w:tcBorders>
            <w:vAlign w:val="center"/>
          </w:tcPr>
          <w:p w:rsidR="00054BD3" w:rsidRPr="00261A05" w:rsidRDefault="00054BD3" w:rsidP="00261A05">
            <w:pPr>
              <w:ind w:right="42"/>
              <w:jc w:val="center"/>
              <w:rPr>
                <w:b/>
                <w:bCs/>
              </w:rPr>
            </w:pPr>
          </w:p>
        </w:tc>
        <w:tc>
          <w:tcPr>
            <w:tcW w:w="964" w:type="dxa"/>
            <w:tcBorders>
              <w:bottom w:val="nil"/>
            </w:tcBorders>
            <w:vAlign w:val="center"/>
          </w:tcPr>
          <w:p w:rsidR="00054BD3" w:rsidRPr="00261A05" w:rsidRDefault="00054BD3" w:rsidP="00261A05">
            <w:pPr>
              <w:ind w:right="42"/>
              <w:jc w:val="center"/>
              <w:rPr>
                <w:b/>
                <w:bCs/>
              </w:rPr>
            </w:pPr>
          </w:p>
        </w:tc>
        <w:tc>
          <w:tcPr>
            <w:tcW w:w="965" w:type="dxa"/>
            <w:tcBorders>
              <w:bottom w:val="nil"/>
            </w:tcBorders>
            <w:vAlign w:val="center"/>
          </w:tcPr>
          <w:p w:rsidR="00054BD3" w:rsidRPr="00261A05" w:rsidRDefault="00054BD3" w:rsidP="00261A05">
            <w:pPr>
              <w:ind w:right="42"/>
              <w:jc w:val="center"/>
              <w:rPr>
                <w:b/>
                <w:bCs/>
              </w:rPr>
            </w:pPr>
          </w:p>
        </w:tc>
        <w:tc>
          <w:tcPr>
            <w:tcW w:w="964" w:type="dxa"/>
            <w:tcBorders>
              <w:bottom w:val="nil"/>
              <w:right w:val="double" w:sz="4" w:space="0" w:color="auto"/>
            </w:tcBorders>
            <w:vAlign w:val="center"/>
          </w:tcPr>
          <w:p w:rsidR="00054BD3" w:rsidRPr="00261A05" w:rsidRDefault="00054BD3" w:rsidP="00261A05">
            <w:pPr>
              <w:ind w:right="42"/>
              <w:jc w:val="center"/>
              <w:rPr>
                <w:b/>
                <w:bCs/>
              </w:rPr>
            </w:pPr>
          </w:p>
        </w:tc>
        <w:tc>
          <w:tcPr>
            <w:tcW w:w="964" w:type="dxa"/>
            <w:tcBorders>
              <w:left w:val="double" w:sz="4" w:space="0" w:color="auto"/>
              <w:bottom w:val="nil"/>
            </w:tcBorders>
            <w:vAlign w:val="center"/>
          </w:tcPr>
          <w:p w:rsidR="00054BD3" w:rsidRPr="00261A05" w:rsidRDefault="00054BD3" w:rsidP="00261A05">
            <w:pPr>
              <w:ind w:right="42"/>
              <w:jc w:val="center"/>
              <w:rPr>
                <w:b/>
                <w:bCs/>
              </w:rPr>
            </w:pPr>
          </w:p>
        </w:tc>
        <w:tc>
          <w:tcPr>
            <w:tcW w:w="965" w:type="dxa"/>
            <w:tcBorders>
              <w:bottom w:val="nil"/>
            </w:tcBorders>
            <w:vAlign w:val="center"/>
          </w:tcPr>
          <w:p w:rsidR="00054BD3" w:rsidRPr="00261A05" w:rsidRDefault="00054BD3" w:rsidP="00261A05">
            <w:pPr>
              <w:ind w:right="42"/>
              <w:jc w:val="center"/>
              <w:rPr>
                <w:b/>
                <w:bCs/>
              </w:rPr>
            </w:pPr>
          </w:p>
        </w:tc>
      </w:tr>
      <w:tr w:rsidR="00054BD3" w:rsidTr="00226D50">
        <w:trPr>
          <w:trHeight w:val="370"/>
        </w:trPr>
        <w:tc>
          <w:tcPr>
            <w:tcW w:w="3330" w:type="dxa"/>
            <w:tcBorders>
              <w:top w:val="nil"/>
            </w:tcBorders>
            <w:vAlign w:val="center"/>
          </w:tcPr>
          <w:p w:rsidR="00054BD3" w:rsidRPr="00261A05" w:rsidRDefault="00054BD3" w:rsidP="00261A05">
            <w:pPr>
              <w:ind w:right="42"/>
              <w:jc w:val="center"/>
            </w:pPr>
            <w:r w:rsidRPr="00261A05">
              <w:rPr>
                <w:sz w:val="22"/>
                <w:szCs w:val="22"/>
              </w:rPr>
              <w:t>İMKB 100</w:t>
            </w:r>
          </w:p>
        </w:tc>
        <w:tc>
          <w:tcPr>
            <w:tcW w:w="964" w:type="dxa"/>
            <w:tcBorders>
              <w:top w:val="nil"/>
            </w:tcBorders>
            <w:vAlign w:val="center"/>
          </w:tcPr>
          <w:p w:rsidR="00054BD3" w:rsidRPr="00261A05" w:rsidRDefault="00054BD3" w:rsidP="00261A05">
            <w:pPr>
              <w:ind w:right="42"/>
              <w:jc w:val="center"/>
            </w:pPr>
            <w:r w:rsidRPr="00261A05">
              <w:rPr>
                <w:sz w:val="22"/>
                <w:szCs w:val="22"/>
              </w:rPr>
              <w:t>5,5</w:t>
            </w:r>
          </w:p>
        </w:tc>
        <w:tc>
          <w:tcPr>
            <w:tcW w:w="964" w:type="dxa"/>
            <w:tcBorders>
              <w:top w:val="nil"/>
            </w:tcBorders>
            <w:vAlign w:val="center"/>
          </w:tcPr>
          <w:p w:rsidR="00054BD3" w:rsidRPr="00261A05" w:rsidRDefault="00054BD3" w:rsidP="00261A05">
            <w:pPr>
              <w:ind w:right="42"/>
              <w:jc w:val="center"/>
            </w:pPr>
            <w:r w:rsidRPr="00261A05">
              <w:rPr>
                <w:sz w:val="22"/>
                <w:szCs w:val="22"/>
              </w:rPr>
              <w:t>5,7</w:t>
            </w:r>
          </w:p>
        </w:tc>
        <w:tc>
          <w:tcPr>
            <w:tcW w:w="964" w:type="dxa"/>
            <w:tcBorders>
              <w:top w:val="nil"/>
            </w:tcBorders>
            <w:vAlign w:val="center"/>
          </w:tcPr>
          <w:p w:rsidR="00054BD3" w:rsidRPr="00261A05" w:rsidRDefault="00054BD3" w:rsidP="00261A05">
            <w:pPr>
              <w:ind w:right="42"/>
              <w:jc w:val="center"/>
            </w:pPr>
            <w:r w:rsidRPr="00261A05">
              <w:rPr>
                <w:sz w:val="22"/>
                <w:szCs w:val="22"/>
              </w:rPr>
              <w:t>4,0</w:t>
            </w:r>
          </w:p>
        </w:tc>
        <w:tc>
          <w:tcPr>
            <w:tcW w:w="965" w:type="dxa"/>
            <w:tcBorders>
              <w:top w:val="nil"/>
            </w:tcBorders>
            <w:vAlign w:val="center"/>
          </w:tcPr>
          <w:p w:rsidR="00054BD3" w:rsidRPr="00261A05" w:rsidRDefault="00054BD3" w:rsidP="00261A05">
            <w:pPr>
              <w:ind w:right="42"/>
              <w:jc w:val="center"/>
            </w:pPr>
            <w:r w:rsidRPr="00261A05">
              <w:rPr>
                <w:sz w:val="22"/>
                <w:szCs w:val="22"/>
              </w:rPr>
              <w:t>-3,9</w:t>
            </w:r>
          </w:p>
        </w:tc>
        <w:tc>
          <w:tcPr>
            <w:tcW w:w="964" w:type="dxa"/>
            <w:tcBorders>
              <w:top w:val="nil"/>
              <w:right w:val="double" w:sz="4" w:space="0" w:color="auto"/>
            </w:tcBorders>
            <w:vAlign w:val="center"/>
          </w:tcPr>
          <w:p w:rsidR="00054BD3" w:rsidRPr="00261A05" w:rsidRDefault="00054BD3" w:rsidP="00261A05">
            <w:pPr>
              <w:ind w:right="42"/>
              <w:jc w:val="center"/>
            </w:pPr>
            <w:r w:rsidRPr="00261A05">
              <w:rPr>
                <w:sz w:val="22"/>
                <w:szCs w:val="22"/>
              </w:rPr>
              <w:t>6,1</w:t>
            </w:r>
          </w:p>
        </w:tc>
        <w:tc>
          <w:tcPr>
            <w:tcW w:w="964" w:type="dxa"/>
            <w:tcBorders>
              <w:top w:val="nil"/>
              <w:left w:val="double" w:sz="4" w:space="0" w:color="auto"/>
            </w:tcBorders>
            <w:vAlign w:val="center"/>
          </w:tcPr>
          <w:p w:rsidR="00054BD3" w:rsidRPr="00261A05" w:rsidRDefault="00054BD3" w:rsidP="00261A05">
            <w:pPr>
              <w:ind w:right="42"/>
              <w:jc w:val="center"/>
            </w:pPr>
            <w:r w:rsidRPr="00261A05">
              <w:rPr>
                <w:sz w:val="22"/>
                <w:szCs w:val="22"/>
              </w:rPr>
              <w:t>8,7</w:t>
            </w:r>
          </w:p>
        </w:tc>
        <w:tc>
          <w:tcPr>
            <w:tcW w:w="965" w:type="dxa"/>
            <w:tcBorders>
              <w:top w:val="nil"/>
            </w:tcBorders>
            <w:vAlign w:val="center"/>
          </w:tcPr>
          <w:p w:rsidR="00054BD3" w:rsidRPr="00261A05" w:rsidRDefault="00054BD3" w:rsidP="00261A05">
            <w:pPr>
              <w:ind w:right="42"/>
              <w:jc w:val="center"/>
            </w:pPr>
            <w:r w:rsidRPr="00261A05">
              <w:rPr>
                <w:sz w:val="22"/>
                <w:szCs w:val="22"/>
              </w:rPr>
              <w:t>9,0</w:t>
            </w:r>
          </w:p>
        </w:tc>
      </w:tr>
      <w:tr w:rsidR="00054BD3" w:rsidTr="00226D50">
        <w:trPr>
          <w:trHeight w:val="370"/>
        </w:trPr>
        <w:tc>
          <w:tcPr>
            <w:tcW w:w="3330" w:type="dxa"/>
            <w:tcBorders>
              <w:bottom w:val="nil"/>
            </w:tcBorders>
            <w:vAlign w:val="center"/>
          </w:tcPr>
          <w:p w:rsidR="00054BD3" w:rsidRPr="00261A05" w:rsidRDefault="00054BD3" w:rsidP="00261A05">
            <w:pPr>
              <w:ind w:right="42"/>
              <w:jc w:val="center"/>
              <w:rPr>
                <w:b/>
                <w:bCs/>
              </w:rPr>
            </w:pPr>
            <w:r w:rsidRPr="00261A05">
              <w:rPr>
                <w:b/>
                <w:bCs/>
                <w:sz w:val="22"/>
                <w:szCs w:val="22"/>
              </w:rPr>
              <w:t>Diğerleri</w:t>
            </w:r>
          </w:p>
        </w:tc>
        <w:tc>
          <w:tcPr>
            <w:tcW w:w="964" w:type="dxa"/>
            <w:tcBorders>
              <w:bottom w:val="nil"/>
            </w:tcBorders>
            <w:vAlign w:val="center"/>
          </w:tcPr>
          <w:p w:rsidR="00054BD3" w:rsidRPr="00261A05" w:rsidRDefault="00054BD3" w:rsidP="00261A05">
            <w:pPr>
              <w:ind w:right="42"/>
              <w:jc w:val="center"/>
            </w:pPr>
          </w:p>
        </w:tc>
        <w:tc>
          <w:tcPr>
            <w:tcW w:w="964" w:type="dxa"/>
            <w:tcBorders>
              <w:bottom w:val="nil"/>
            </w:tcBorders>
            <w:vAlign w:val="center"/>
          </w:tcPr>
          <w:p w:rsidR="00054BD3" w:rsidRPr="00261A05" w:rsidRDefault="00054BD3" w:rsidP="00261A05">
            <w:pPr>
              <w:ind w:right="42"/>
              <w:jc w:val="center"/>
            </w:pPr>
          </w:p>
        </w:tc>
        <w:tc>
          <w:tcPr>
            <w:tcW w:w="964" w:type="dxa"/>
            <w:tcBorders>
              <w:bottom w:val="nil"/>
            </w:tcBorders>
            <w:vAlign w:val="center"/>
          </w:tcPr>
          <w:p w:rsidR="00054BD3" w:rsidRPr="00261A05" w:rsidRDefault="00054BD3" w:rsidP="00261A05">
            <w:pPr>
              <w:ind w:right="42"/>
              <w:jc w:val="center"/>
            </w:pPr>
          </w:p>
        </w:tc>
        <w:tc>
          <w:tcPr>
            <w:tcW w:w="965" w:type="dxa"/>
            <w:tcBorders>
              <w:bottom w:val="nil"/>
            </w:tcBorders>
            <w:vAlign w:val="center"/>
          </w:tcPr>
          <w:p w:rsidR="00054BD3" w:rsidRPr="00261A05" w:rsidRDefault="00054BD3" w:rsidP="00261A05">
            <w:pPr>
              <w:ind w:right="42"/>
              <w:jc w:val="center"/>
            </w:pPr>
          </w:p>
        </w:tc>
        <w:tc>
          <w:tcPr>
            <w:tcW w:w="964" w:type="dxa"/>
            <w:tcBorders>
              <w:bottom w:val="nil"/>
              <w:right w:val="double" w:sz="4" w:space="0" w:color="auto"/>
            </w:tcBorders>
            <w:vAlign w:val="center"/>
          </w:tcPr>
          <w:p w:rsidR="00054BD3" w:rsidRPr="00261A05" w:rsidRDefault="00054BD3" w:rsidP="00261A05">
            <w:pPr>
              <w:ind w:right="42"/>
              <w:jc w:val="center"/>
            </w:pPr>
          </w:p>
        </w:tc>
        <w:tc>
          <w:tcPr>
            <w:tcW w:w="964" w:type="dxa"/>
            <w:tcBorders>
              <w:left w:val="double" w:sz="4" w:space="0" w:color="auto"/>
              <w:bottom w:val="nil"/>
            </w:tcBorders>
            <w:vAlign w:val="center"/>
          </w:tcPr>
          <w:p w:rsidR="00054BD3" w:rsidRPr="00261A05" w:rsidRDefault="00054BD3" w:rsidP="00261A05">
            <w:pPr>
              <w:ind w:right="42"/>
              <w:jc w:val="center"/>
            </w:pPr>
          </w:p>
        </w:tc>
        <w:tc>
          <w:tcPr>
            <w:tcW w:w="965" w:type="dxa"/>
            <w:tcBorders>
              <w:bottom w:val="nil"/>
            </w:tcBorders>
            <w:vAlign w:val="center"/>
          </w:tcPr>
          <w:p w:rsidR="00054BD3" w:rsidRPr="00261A05" w:rsidRDefault="00054BD3" w:rsidP="00261A05">
            <w:pPr>
              <w:ind w:right="42"/>
              <w:jc w:val="center"/>
            </w:pP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Özel tüketim vergisi (ÖTV)</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-8,7</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4,7</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8,6</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-7,8</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9,5</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4,2</w:t>
            </w:r>
          </w:p>
        </w:tc>
      </w:tr>
      <w:tr w:rsidR="00054BD3" w:rsidTr="00226D50">
        <w:trPr>
          <w:trHeight w:val="370"/>
        </w:trPr>
        <w:tc>
          <w:tcPr>
            <w:tcW w:w="3330" w:type="dxa"/>
            <w:tcBorders>
              <w:top w:val="nil"/>
              <w:bottom w:val="nil"/>
            </w:tcBorders>
            <w:vAlign w:val="center"/>
          </w:tcPr>
          <w:p w:rsidR="00054BD3" w:rsidRPr="00261A05" w:rsidRDefault="00054BD3" w:rsidP="00261A05">
            <w:pPr>
              <w:ind w:right="42"/>
              <w:jc w:val="center"/>
            </w:pPr>
            <w:r w:rsidRPr="00261A05">
              <w:rPr>
                <w:sz w:val="22"/>
                <w:szCs w:val="22"/>
              </w:rPr>
              <w:t>Binek otomobil üretimi</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0,6</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-10,6</w:t>
            </w:r>
          </w:p>
        </w:tc>
        <w:tc>
          <w:tcPr>
            <w:tcW w:w="964" w:type="dxa"/>
            <w:tcBorders>
              <w:top w:val="nil"/>
              <w:bottom w:val="nil"/>
            </w:tcBorders>
            <w:vAlign w:val="center"/>
          </w:tcPr>
          <w:p w:rsidR="00054BD3" w:rsidRPr="00261A05" w:rsidRDefault="00054BD3" w:rsidP="00261A05">
            <w:pPr>
              <w:ind w:right="42"/>
              <w:jc w:val="center"/>
            </w:pPr>
            <w:r w:rsidRPr="00261A05">
              <w:rPr>
                <w:sz w:val="22"/>
                <w:szCs w:val="22"/>
              </w:rPr>
              <w:t>2,4</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5,3</w:t>
            </w:r>
          </w:p>
        </w:tc>
        <w:tc>
          <w:tcPr>
            <w:tcW w:w="964" w:type="dxa"/>
            <w:tcBorders>
              <w:top w:val="nil"/>
              <w:bottom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bottom w:val="nil"/>
            </w:tcBorders>
            <w:vAlign w:val="center"/>
          </w:tcPr>
          <w:p w:rsidR="00054BD3" w:rsidRPr="00261A05" w:rsidRDefault="00054BD3" w:rsidP="00261A05">
            <w:pPr>
              <w:ind w:right="42"/>
              <w:jc w:val="center"/>
            </w:pPr>
            <w:r w:rsidRPr="00261A05">
              <w:rPr>
                <w:sz w:val="22"/>
                <w:szCs w:val="22"/>
              </w:rPr>
              <w:t>4,2</w:t>
            </w:r>
          </w:p>
        </w:tc>
        <w:tc>
          <w:tcPr>
            <w:tcW w:w="965" w:type="dxa"/>
            <w:tcBorders>
              <w:top w:val="nil"/>
              <w:bottom w:val="nil"/>
            </w:tcBorders>
            <w:vAlign w:val="center"/>
          </w:tcPr>
          <w:p w:rsidR="00054BD3" w:rsidRPr="00261A05" w:rsidRDefault="00054BD3" w:rsidP="00261A05">
            <w:pPr>
              <w:ind w:right="42"/>
              <w:jc w:val="center"/>
            </w:pPr>
            <w:r w:rsidRPr="00261A05">
              <w:rPr>
                <w:sz w:val="22"/>
                <w:szCs w:val="22"/>
              </w:rPr>
              <w:t>-2,4</w:t>
            </w:r>
          </w:p>
        </w:tc>
      </w:tr>
      <w:tr w:rsidR="00054BD3" w:rsidTr="00226D50">
        <w:trPr>
          <w:trHeight w:val="370"/>
        </w:trPr>
        <w:tc>
          <w:tcPr>
            <w:tcW w:w="3330" w:type="dxa"/>
            <w:tcBorders>
              <w:top w:val="nil"/>
            </w:tcBorders>
            <w:vAlign w:val="center"/>
          </w:tcPr>
          <w:p w:rsidR="00054BD3" w:rsidRPr="00261A05" w:rsidRDefault="00054BD3" w:rsidP="00261A05">
            <w:pPr>
              <w:ind w:right="42"/>
              <w:jc w:val="center"/>
            </w:pPr>
            <w:r w:rsidRPr="00261A05">
              <w:rPr>
                <w:sz w:val="22"/>
                <w:szCs w:val="22"/>
              </w:rPr>
              <w:t>Binek olmayan otomobil üretimi</w:t>
            </w:r>
          </w:p>
        </w:tc>
        <w:tc>
          <w:tcPr>
            <w:tcW w:w="964" w:type="dxa"/>
            <w:tcBorders>
              <w:top w:val="nil"/>
            </w:tcBorders>
            <w:vAlign w:val="center"/>
          </w:tcPr>
          <w:p w:rsidR="00054BD3" w:rsidRPr="00261A05" w:rsidRDefault="00054BD3" w:rsidP="00261A05">
            <w:pPr>
              <w:ind w:right="42"/>
              <w:jc w:val="center"/>
            </w:pPr>
            <w:r w:rsidRPr="00261A05">
              <w:rPr>
                <w:sz w:val="22"/>
                <w:szCs w:val="22"/>
              </w:rPr>
              <w:t>3,1</w:t>
            </w:r>
          </w:p>
        </w:tc>
        <w:tc>
          <w:tcPr>
            <w:tcW w:w="964" w:type="dxa"/>
            <w:tcBorders>
              <w:top w:val="nil"/>
            </w:tcBorders>
            <w:vAlign w:val="center"/>
          </w:tcPr>
          <w:p w:rsidR="00054BD3" w:rsidRPr="00261A05" w:rsidRDefault="00054BD3" w:rsidP="00261A05">
            <w:pPr>
              <w:ind w:right="42"/>
              <w:jc w:val="center"/>
            </w:pPr>
            <w:r w:rsidRPr="00261A05">
              <w:rPr>
                <w:sz w:val="22"/>
                <w:szCs w:val="22"/>
              </w:rPr>
              <w:t>-28,7</w:t>
            </w:r>
          </w:p>
        </w:tc>
        <w:tc>
          <w:tcPr>
            <w:tcW w:w="964" w:type="dxa"/>
            <w:tcBorders>
              <w:top w:val="nil"/>
            </w:tcBorders>
            <w:vAlign w:val="center"/>
          </w:tcPr>
          <w:p w:rsidR="00054BD3" w:rsidRPr="00261A05" w:rsidRDefault="00054BD3" w:rsidP="00261A05">
            <w:pPr>
              <w:ind w:right="42"/>
              <w:jc w:val="center"/>
            </w:pPr>
            <w:r w:rsidRPr="00261A05">
              <w:rPr>
                <w:sz w:val="22"/>
                <w:szCs w:val="22"/>
              </w:rPr>
              <w:t>51,1</w:t>
            </w:r>
          </w:p>
        </w:tc>
        <w:tc>
          <w:tcPr>
            <w:tcW w:w="965" w:type="dxa"/>
            <w:tcBorders>
              <w:top w:val="nil"/>
            </w:tcBorders>
            <w:vAlign w:val="center"/>
          </w:tcPr>
          <w:p w:rsidR="00054BD3" w:rsidRPr="00261A05" w:rsidRDefault="00054BD3" w:rsidP="00261A05">
            <w:pPr>
              <w:ind w:right="42"/>
              <w:jc w:val="center"/>
            </w:pPr>
            <w:r w:rsidRPr="00261A05">
              <w:rPr>
                <w:sz w:val="22"/>
                <w:szCs w:val="22"/>
              </w:rPr>
              <w:t>-5,2</w:t>
            </w:r>
          </w:p>
        </w:tc>
        <w:tc>
          <w:tcPr>
            <w:tcW w:w="964" w:type="dxa"/>
            <w:tcBorders>
              <w:top w:val="nil"/>
              <w:right w:val="double" w:sz="4" w:space="0" w:color="auto"/>
            </w:tcBorders>
            <w:vAlign w:val="center"/>
          </w:tcPr>
          <w:p w:rsidR="00054BD3" w:rsidRPr="00261A05" w:rsidRDefault="00054BD3" w:rsidP="00261A05">
            <w:pPr>
              <w:ind w:right="42"/>
              <w:jc w:val="center"/>
            </w:pPr>
            <w:r w:rsidRPr="00261A05">
              <w:rPr>
                <w:sz w:val="22"/>
                <w:szCs w:val="22"/>
              </w:rPr>
              <w:t>**</w:t>
            </w:r>
          </w:p>
        </w:tc>
        <w:tc>
          <w:tcPr>
            <w:tcW w:w="964" w:type="dxa"/>
            <w:tcBorders>
              <w:top w:val="nil"/>
              <w:left w:val="double" w:sz="4" w:space="0" w:color="auto"/>
            </w:tcBorders>
            <w:vAlign w:val="center"/>
          </w:tcPr>
          <w:p w:rsidR="00054BD3" w:rsidRPr="00261A05" w:rsidRDefault="00054BD3" w:rsidP="00261A05">
            <w:pPr>
              <w:ind w:right="42"/>
              <w:jc w:val="center"/>
            </w:pPr>
            <w:r w:rsidRPr="00261A05">
              <w:rPr>
                <w:sz w:val="22"/>
                <w:szCs w:val="22"/>
              </w:rPr>
              <w:t>-5,6</w:t>
            </w:r>
          </w:p>
        </w:tc>
        <w:tc>
          <w:tcPr>
            <w:tcW w:w="965" w:type="dxa"/>
            <w:tcBorders>
              <w:top w:val="nil"/>
            </w:tcBorders>
            <w:vAlign w:val="center"/>
          </w:tcPr>
          <w:p w:rsidR="00054BD3" w:rsidRPr="00261A05" w:rsidRDefault="00054BD3" w:rsidP="00261A05">
            <w:pPr>
              <w:ind w:right="42"/>
              <w:jc w:val="center"/>
            </w:pPr>
            <w:r w:rsidRPr="00261A05">
              <w:rPr>
                <w:sz w:val="22"/>
                <w:szCs w:val="22"/>
              </w:rPr>
              <w:t>17,4</w:t>
            </w:r>
          </w:p>
        </w:tc>
      </w:tr>
    </w:tbl>
    <w:p w:rsidR="00054BD3" w:rsidRDefault="00054BD3" w:rsidP="009B33E7">
      <w:pPr>
        <w:ind w:left="-720" w:right="43" w:firstLine="360"/>
        <w:jc w:val="both"/>
        <w:rPr>
          <w:sz w:val="18"/>
          <w:szCs w:val="18"/>
        </w:rPr>
      </w:pPr>
      <w:r w:rsidRPr="008C6E50">
        <w:rPr>
          <w:sz w:val="18"/>
          <w:szCs w:val="18"/>
        </w:rPr>
        <w:t>Kaynak: TUIK, TCMB, IMKB, BETAM</w:t>
      </w:r>
      <w:r>
        <w:rPr>
          <w:sz w:val="18"/>
          <w:szCs w:val="18"/>
        </w:rPr>
        <w:t xml:space="preserve">. </w:t>
      </w:r>
    </w:p>
    <w:p w:rsidR="00054BD3" w:rsidRDefault="00054BD3" w:rsidP="009B33E7">
      <w:pPr>
        <w:ind w:left="-360" w:right="43"/>
        <w:rPr>
          <w:sz w:val="18"/>
          <w:szCs w:val="18"/>
        </w:rPr>
      </w:pPr>
      <w:r>
        <w:rPr>
          <w:sz w:val="18"/>
          <w:szCs w:val="18"/>
        </w:rPr>
        <w:t>* Betam hesaplamaları: Altın hariç ihracatı (ithalatı) bulmak için nominal ihracattan (ithalattan) parasal olmayan altın ihracatını (ithalatını) çıkarıp ihracat (ithalat) birim değer endeksine bölüyoruz.</w:t>
      </w:r>
    </w:p>
    <w:p w:rsidR="00054BD3" w:rsidRDefault="00054BD3" w:rsidP="008A0F64">
      <w:pPr>
        <w:spacing w:line="360" w:lineRule="auto"/>
        <w:ind w:right="42"/>
        <w:jc w:val="both"/>
        <w:rPr>
          <w:b/>
          <w:bCs/>
          <w:sz w:val="22"/>
          <w:szCs w:val="22"/>
        </w:rPr>
      </w:pPr>
    </w:p>
    <w:p w:rsidR="00054BD3" w:rsidRDefault="00054BD3" w:rsidP="008A0F64">
      <w:pPr>
        <w:spacing w:line="360" w:lineRule="auto"/>
        <w:ind w:right="42"/>
        <w:jc w:val="both"/>
        <w:rPr>
          <w:b/>
          <w:bCs/>
          <w:sz w:val="22"/>
          <w:szCs w:val="22"/>
        </w:rPr>
      </w:pPr>
    </w:p>
    <w:p w:rsidR="00054BD3" w:rsidRDefault="00054BD3" w:rsidP="008A0F64">
      <w:pPr>
        <w:spacing w:line="360" w:lineRule="auto"/>
        <w:ind w:right="42"/>
        <w:jc w:val="both"/>
        <w:rPr>
          <w:b/>
          <w:bCs/>
          <w:sz w:val="22"/>
          <w:szCs w:val="22"/>
        </w:rPr>
      </w:pPr>
    </w:p>
    <w:p w:rsidR="00054BD3" w:rsidRDefault="00054BD3" w:rsidP="008A0F64">
      <w:pPr>
        <w:spacing w:line="360" w:lineRule="auto"/>
        <w:ind w:right="42"/>
        <w:jc w:val="both"/>
        <w:rPr>
          <w:b/>
          <w:bCs/>
          <w:sz w:val="22"/>
          <w:szCs w:val="22"/>
        </w:rPr>
      </w:pPr>
    </w:p>
    <w:p w:rsidR="00054BD3" w:rsidRDefault="00054BD3" w:rsidP="008A0F64">
      <w:pPr>
        <w:spacing w:line="360" w:lineRule="auto"/>
        <w:ind w:right="42"/>
        <w:jc w:val="both"/>
        <w:rPr>
          <w:b/>
          <w:bCs/>
          <w:sz w:val="22"/>
          <w:szCs w:val="22"/>
        </w:rPr>
      </w:pPr>
    </w:p>
    <w:p w:rsidR="00054BD3" w:rsidRDefault="00054BD3" w:rsidP="0072768C">
      <w:pPr>
        <w:spacing w:line="360" w:lineRule="auto"/>
        <w:ind w:left="-360" w:right="42"/>
        <w:jc w:val="both"/>
        <w:rPr>
          <w:sz w:val="22"/>
          <w:szCs w:val="22"/>
        </w:rPr>
        <w:sectPr w:rsidR="00054BD3" w:rsidSect="008651A8">
          <w:type w:val="continuous"/>
          <w:pgSz w:w="11906" w:h="16838"/>
          <w:pgMar w:top="1417" w:right="1417" w:bottom="1417" w:left="1417" w:header="708" w:footer="708" w:gutter="0"/>
          <w:cols w:space="708"/>
          <w:docGrid w:linePitch="360"/>
        </w:sectPr>
      </w:pPr>
    </w:p>
    <w:p w:rsidR="00054BD3" w:rsidRDefault="00054BD3" w:rsidP="004D3901">
      <w:pPr>
        <w:spacing w:line="360" w:lineRule="auto"/>
        <w:ind w:left="-360" w:right="42"/>
        <w:rPr>
          <w:sz w:val="18"/>
          <w:szCs w:val="18"/>
        </w:rPr>
      </w:pPr>
    </w:p>
    <w:p w:rsidR="00054BD3" w:rsidRDefault="00054BD3" w:rsidP="003001AF">
      <w:pPr>
        <w:spacing w:line="360" w:lineRule="auto"/>
        <w:ind w:right="42"/>
        <w:rPr>
          <w:sz w:val="18"/>
          <w:szCs w:val="18"/>
        </w:rPr>
      </w:pPr>
    </w:p>
    <w:p w:rsidR="00054BD3" w:rsidRPr="004259B8" w:rsidRDefault="00054BD3" w:rsidP="003001AF">
      <w:pPr>
        <w:spacing w:line="360" w:lineRule="auto"/>
        <w:ind w:right="42"/>
        <w:rPr>
          <w:sz w:val="18"/>
          <w:szCs w:val="18"/>
        </w:rPr>
        <w:sectPr w:rsidR="00054BD3" w:rsidRPr="004259B8" w:rsidSect="008651A8">
          <w:type w:val="continuous"/>
          <w:pgSz w:w="11906" w:h="16838"/>
          <w:pgMar w:top="1417" w:right="1417" w:bottom="1417" w:left="1417" w:header="708" w:footer="708" w:gutter="0"/>
          <w:cols w:space="708"/>
          <w:docGrid w:linePitch="360"/>
        </w:sectPr>
      </w:pPr>
    </w:p>
    <w:p w:rsidR="00054BD3" w:rsidRDefault="00054BD3" w:rsidP="004259B8">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054BD3" w:rsidRPr="007067F4" w:rsidRDefault="00054BD3" w:rsidP="0072768C">
      <w:pPr>
        <w:ind w:left="-360" w:right="42"/>
        <w:jc w:val="both"/>
        <w:rPr>
          <w:b/>
          <w:bCs/>
          <w:sz w:val="8"/>
          <w:szCs w:val="8"/>
        </w:rPr>
      </w:pPr>
    </w:p>
    <w:p w:rsidR="00054BD3" w:rsidRPr="00CE2137" w:rsidRDefault="00AC5A27" w:rsidP="00143024">
      <w:pPr>
        <w:ind w:left="-360" w:right="42"/>
        <w:jc w:val="both"/>
      </w:pPr>
      <w:r>
        <w:rPr>
          <w:noProof/>
          <w:lang w:val="en-US" w:eastAsia="en-US"/>
        </w:rPr>
        <w:drawing>
          <wp:inline distT="0" distB="0" distL="0" distR="0">
            <wp:extent cx="2639695" cy="222567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39695" cy="2225675"/>
                    </a:xfrm>
                    <a:prstGeom prst="rect">
                      <a:avLst/>
                    </a:prstGeom>
                    <a:noFill/>
                    <a:ln w="9525">
                      <a:noFill/>
                      <a:miter lim="800000"/>
                      <a:headEnd/>
                      <a:tailEnd/>
                    </a:ln>
                  </pic:spPr>
                </pic:pic>
              </a:graphicData>
            </a:graphic>
          </wp:inline>
        </w:drawing>
      </w:r>
    </w:p>
    <w:p w:rsidR="00054BD3" w:rsidRDefault="00054BD3" w:rsidP="00143024">
      <w:pPr>
        <w:ind w:left="-360" w:right="42"/>
        <w:jc w:val="both"/>
        <w:rPr>
          <w:sz w:val="18"/>
          <w:szCs w:val="18"/>
        </w:rPr>
      </w:pPr>
      <w:r>
        <w:rPr>
          <w:sz w:val="18"/>
          <w:szCs w:val="18"/>
        </w:rPr>
        <w:t xml:space="preserve">Kaynak : TÜİK </w:t>
      </w:r>
      <w:r w:rsidRPr="008C6E50">
        <w:rPr>
          <w:sz w:val="18"/>
          <w:szCs w:val="18"/>
        </w:rPr>
        <w:t xml:space="preserve">(sol taraf KKO ekseni, sağ taraf SÜE </w:t>
      </w:r>
      <w:r>
        <w:rPr>
          <w:sz w:val="18"/>
          <w:szCs w:val="18"/>
        </w:rPr>
        <w:t xml:space="preserve">  </w:t>
      </w:r>
    </w:p>
    <w:p w:rsidR="00054BD3" w:rsidRPr="008C6E50" w:rsidRDefault="00054BD3" w:rsidP="00143024">
      <w:pPr>
        <w:ind w:left="-360" w:right="42"/>
        <w:jc w:val="both"/>
        <w:rPr>
          <w:sz w:val="18"/>
          <w:szCs w:val="18"/>
        </w:rPr>
      </w:pPr>
      <w:r>
        <w:rPr>
          <w:sz w:val="18"/>
          <w:szCs w:val="18"/>
        </w:rPr>
        <w:t xml:space="preserve"> </w:t>
      </w:r>
      <w:r w:rsidRPr="008C6E50">
        <w:rPr>
          <w:sz w:val="18"/>
          <w:szCs w:val="18"/>
        </w:rPr>
        <w:t>ekseni)</w:t>
      </w:r>
      <w:r>
        <w:rPr>
          <w:sz w:val="18"/>
          <w:szCs w:val="18"/>
        </w:rPr>
        <w:t>.</w:t>
      </w:r>
    </w:p>
    <w:p w:rsidR="00054BD3" w:rsidRDefault="00054BD3" w:rsidP="0072768C">
      <w:pPr>
        <w:ind w:left="-360" w:right="42"/>
        <w:jc w:val="both"/>
        <w:rPr>
          <w:b/>
          <w:bCs/>
          <w:sz w:val="22"/>
          <w:szCs w:val="22"/>
        </w:rPr>
      </w:pPr>
    </w:p>
    <w:p w:rsidR="00054BD3" w:rsidRDefault="00054BD3" w:rsidP="000F2DB4">
      <w:pPr>
        <w:ind w:right="42"/>
        <w:jc w:val="both"/>
        <w:rPr>
          <w:b/>
          <w:bCs/>
          <w:sz w:val="22"/>
          <w:szCs w:val="22"/>
        </w:rPr>
      </w:pPr>
    </w:p>
    <w:p w:rsidR="00054BD3" w:rsidRPr="00483C58" w:rsidRDefault="00054BD3" w:rsidP="00483C58">
      <w:pPr>
        <w:ind w:left="-360" w:right="42"/>
        <w:jc w:val="both"/>
        <w:rPr>
          <w:b/>
          <w:bCs/>
          <w:sz w:val="22"/>
          <w:szCs w:val="22"/>
        </w:rPr>
      </w:pP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054BD3" w:rsidRPr="007067F4" w:rsidRDefault="00054BD3" w:rsidP="0072768C">
      <w:pPr>
        <w:spacing w:line="360" w:lineRule="auto"/>
        <w:ind w:left="-360" w:right="42"/>
        <w:jc w:val="both"/>
        <w:rPr>
          <w:sz w:val="4"/>
          <w:szCs w:val="4"/>
        </w:rPr>
      </w:pPr>
    </w:p>
    <w:p w:rsidR="00054BD3" w:rsidRPr="00CE2137" w:rsidRDefault="00AC5A27" w:rsidP="00143024">
      <w:pPr>
        <w:ind w:left="-360" w:right="42"/>
        <w:jc w:val="both"/>
      </w:pPr>
      <w:r>
        <w:rPr>
          <w:noProof/>
          <w:lang w:val="en-US" w:eastAsia="en-US"/>
        </w:rPr>
        <w:drawing>
          <wp:inline distT="0" distB="0" distL="0" distR="0">
            <wp:extent cx="2656840" cy="2225675"/>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656840" cy="2225675"/>
                    </a:xfrm>
                    <a:prstGeom prst="rect">
                      <a:avLst/>
                    </a:prstGeom>
                    <a:noFill/>
                    <a:ln w="9525">
                      <a:noFill/>
                      <a:miter lim="800000"/>
                      <a:headEnd/>
                      <a:tailEnd/>
                    </a:ln>
                  </pic:spPr>
                </pic:pic>
              </a:graphicData>
            </a:graphic>
          </wp:inline>
        </w:drawing>
      </w:r>
    </w:p>
    <w:p w:rsidR="00054BD3" w:rsidRPr="008C6E50" w:rsidRDefault="00054BD3" w:rsidP="00143024">
      <w:pPr>
        <w:ind w:left="-360" w:right="42"/>
        <w:jc w:val="both"/>
        <w:rPr>
          <w:sz w:val="18"/>
          <w:szCs w:val="18"/>
        </w:rPr>
      </w:pPr>
      <w:r>
        <w:rPr>
          <w:sz w:val="18"/>
          <w:szCs w:val="18"/>
        </w:rPr>
        <w:t>Kaynak : TÜİK.</w:t>
      </w:r>
    </w:p>
    <w:p w:rsidR="00054BD3" w:rsidRDefault="00054BD3" w:rsidP="000F2DB4">
      <w:pPr>
        <w:spacing w:line="360" w:lineRule="auto"/>
        <w:ind w:right="42"/>
        <w:jc w:val="both"/>
        <w:rPr>
          <w:sz w:val="22"/>
          <w:szCs w:val="22"/>
        </w:rPr>
        <w:sectPr w:rsidR="00054BD3" w:rsidSect="007067F4">
          <w:type w:val="continuous"/>
          <w:pgSz w:w="11906" w:h="16838"/>
          <w:pgMar w:top="1417" w:right="1417" w:bottom="1417" w:left="1417" w:header="708" w:footer="708" w:gutter="0"/>
          <w:cols w:num="2" w:space="708" w:equalWidth="0">
            <w:col w:w="4182" w:space="708"/>
            <w:col w:w="4182"/>
          </w:cols>
          <w:docGrid w:linePitch="360"/>
        </w:sectPr>
      </w:pPr>
    </w:p>
    <w:p w:rsidR="00054BD3" w:rsidRPr="007067F4" w:rsidRDefault="00054BD3" w:rsidP="00B25C94">
      <w:pPr>
        <w:spacing w:line="360" w:lineRule="auto"/>
        <w:ind w:left="-360" w:right="42"/>
        <w:jc w:val="both"/>
        <w:rPr>
          <w:b/>
          <w:bCs/>
          <w:sz w:val="22"/>
          <w:szCs w:val="22"/>
        </w:rPr>
      </w:pPr>
      <w:r>
        <w:rPr>
          <w:b/>
          <w:bCs/>
          <w:sz w:val="22"/>
          <w:szCs w:val="22"/>
        </w:rPr>
        <w:lastRenderedPageBreak/>
        <w:t>Şekil 3: C</w:t>
      </w:r>
      <w:r w:rsidRPr="007067F4">
        <w:rPr>
          <w:b/>
          <w:bCs/>
          <w:sz w:val="22"/>
          <w:szCs w:val="22"/>
        </w:rPr>
        <w:t xml:space="preserve">ari </w:t>
      </w:r>
      <w:r>
        <w:rPr>
          <w:b/>
          <w:bCs/>
          <w:sz w:val="22"/>
          <w:szCs w:val="22"/>
        </w:rPr>
        <w:t xml:space="preserve">açığın GSYH’a oranı                           </w:t>
      </w:r>
    </w:p>
    <w:p w:rsidR="00054BD3" w:rsidRPr="000144EB" w:rsidRDefault="00AC5A27" w:rsidP="000144EB">
      <w:pPr>
        <w:ind w:left="-360" w:right="42"/>
      </w:pPr>
      <w:r>
        <w:rPr>
          <w:noProof/>
          <w:lang w:val="en-US" w:eastAsia="en-US"/>
        </w:rPr>
        <w:drawing>
          <wp:inline distT="0" distB="0" distL="0" distR="0">
            <wp:extent cx="5719445" cy="32175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19445" cy="3217545"/>
                    </a:xfrm>
                    <a:prstGeom prst="rect">
                      <a:avLst/>
                    </a:prstGeom>
                    <a:noFill/>
                    <a:ln w="9525">
                      <a:noFill/>
                      <a:miter lim="800000"/>
                      <a:headEnd/>
                      <a:tailEnd/>
                    </a:ln>
                  </pic:spPr>
                </pic:pic>
              </a:graphicData>
            </a:graphic>
          </wp:inline>
        </w:drawing>
      </w:r>
    </w:p>
    <w:p w:rsidR="00054BD3" w:rsidRPr="00143024" w:rsidRDefault="00054BD3" w:rsidP="000144EB">
      <w:pPr>
        <w:ind w:left="-360" w:right="42"/>
      </w:pPr>
      <w:r>
        <w:rPr>
          <w:sz w:val="18"/>
          <w:szCs w:val="18"/>
        </w:rPr>
        <w:t xml:space="preserve">Kaynak: TCMB, TUIK, Betam. </w:t>
      </w:r>
      <w:r>
        <w:rPr>
          <w:sz w:val="18"/>
          <w:szCs w:val="18"/>
        </w:rPr>
        <w:tab/>
      </w:r>
      <w:r>
        <w:rPr>
          <w:sz w:val="18"/>
          <w:szCs w:val="18"/>
        </w:rPr>
        <w:tab/>
      </w:r>
      <w:r>
        <w:rPr>
          <w:sz w:val="18"/>
          <w:szCs w:val="18"/>
        </w:rPr>
        <w:tab/>
      </w:r>
      <w:r>
        <w:rPr>
          <w:sz w:val="18"/>
          <w:szCs w:val="18"/>
        </w:rPr>
        <w:tab/>
      </w:r>
    </w:p>
    <w:p w:rsidR="00054BD3" w:rsidRDefault="00054BD3" w:rsidP="00143024">
      <w:pPr>
        <w:ind w:left="-360" w:right="42"/>
      </w:pPr>
    </w:p>
    <w:p w:rsidR="00054BD3" w:rsidRDefault="00054BD3" w:rsidP="003578FF">
      <w:pPr>
        <w:spacing w:line="360" w:lineRule="auto"/>
        <w:ind w:left="-360" w:right="42"/>
        <w:jc w:val="both"/>
        <w:rPr>
          <w:b/>
          <w:bCs/>
          <w:sz w:val="22"/>
          <w:szCs w:val="22"/>
        </w:rPr>
      </w:pPr>
    </w:p>
    <w:p w:rsidR="00054BD3" w:rsidRDefault="00054BD3" w:rsidP="003578FF">
      <w:pPr>
        <w:spacing w:line="360" w:lineRule="auto"/>
        <w:ind w:left="-360" w:right="42"/>
        <w:jc w:val="both"/>
        <w:rPr>
          <w:b/>
          <w:bCs/>
          <w:sz w:val="22"/>
          <w:szCs w:val="22"/>
        </w:rPr>
      </w:pPr>
    </w:p>
    <w:p w:rsidR="00054BD3" w:rsidRDefault="00054BD3" w:rsidP="003578FF">
      <w:pPr>
        <w:spacing w:line="360" w:lineRule="auto"/>
        <w:ind w:left="-360" w:right="42"/>
        <w:jc w:val="both"/>
        <w:rPr>
          <w:b/>
          <w:bCs/>
          <w:sz w:val="22"/>
          <w:szCs w:val="22"/>
        </w:rPr>
      </w:pPr>
    </w:p>
    <w:p w:rsidR="00054BD3" w:rsidRDefault="00054BD3" w:rsidP="003578FF">
      <w:pPr>
        <w:spacing w:line="360" w:lineRule="auto"/>
        <w:ind w:left="-360" w:right="42"/>
        <w:jc w:val="both"/>
        <w:rPr>
          <w:b/>
          <w:bCs/>
          <w:sz w:val="22"/>
          <w:szCs w:val="22"/>
        </w:rPr>
      </w:pPr>
    </w:p>
    <w:p w:rsidR="00054BD3" w:rsidRDefault="00054BD3" w:rsidP="003578FF">
      <w:pPr>
        <w:spacing w:line="360" w:lineRule="auto"/>
        <w:ind w:left="-360" w:right="42"/>
        <w:jc w:val="both"/>
        <w:rPr>
          <w:b/>
          <w:bCs/>
          <w:sz w:val="22"/>
          <w:szCs w:val="22"/>
        </w:rPr>
      </w:pPr>
    </w:p>
    <w:p w:rsidR="00054BD3" w:rsidRDefault="00054BD3" w:rsidP="003578FF">
      <w:pPr>
        <w:spacing w:line="360" w:lineRule="auto"/>
        <w:ind w:left="-360" w:right="42"/>
        <w:jc w:val="both"/>
        <w:rPr>
          <w:b/>
          <w:bCs/>
          <w:sz w:val="22"/>
          <w:szCs w:val="22"/>
        </w:rPr>
      </w:pPr>
    </w:p>
    <w:p w:rsidR="00054BD3" w:rsidRDefault="00054BD3" w:rsidP="003578FF">
      <w:pPr>
        <w:spacing w:line="360" w:lineRule="auto"/>
        <w:ind w:left="-360" w:right="42"/>
        <w:jc w:val="both"/>
        <w:rPr>
          <w:b/>
          <w:bCs/>
          <w:sz w:val="22"/>
          <w:szCs w:val="22"/>
        </w:rPr>
      </w:pPr>
    </w:p>
    <w:p w:rsidR="00054BD3" w:rsidRDefault="00054BD3" w:rsidP="00226D50">
      <w:pPr>
        <w:spacing w:line="360" w:lineRule="auto"/>
        <w:ind w:right="42"/>
        <w:jc w:val="both"/>
        <w:rPr>
          <w:b/>
          <w:bCs/>
          <w:sz w:val="22"/>
          <w:szCs w:val="22"/>
        </w:rPr>
      </w:pPr>
    </w:p>
    <w:p w:rsidR="00054BD3" w:rsidRPr="00EC248D" w:rsidRDefault="00054BD3" w:rsidP="003578FF">
      <w:pPr>
        <w:spacing w:line="360" w:lineRule="auto"/>
        <w:ind w:left="-360" w:right="42"/>
        <w:jc w:val="both"/>
        <w:rPr>
          <w:b/>
          <w:bCs/>
          <w:sz w:val="22"/>
          <w:szCs w:val="22"/>
        </w:rPr>
      </w:pPr>
      <w:r>
        <w:rPr>
          <w:b/>
          <w:bCs/>
          <w:sz w:val="22"/>
          <w:szCs w:val="22"/>
        </w:rPr>
        <w:lastRenderedPageBreak/>
        <w:t>Şekil 4:</w:t>
      </w:r>
      <w:r w:rsidRPr="00EC248D">
        <w:rPr>
          <w:b/>
          <w:bCs/>
          <w:sz w:val="22"/>
          <w:szCs w:val="22"/>
        </w:rPr>
        <w:t xml:space="preserve"> </w:t>
      </w:r>
      <w:r>
        <w:rPr>
          <w:b/>
          <w:bCs/>
          <w:sz w:val="22"/>
          <w:szCs w:val="22"/>
        </w:rPr>
        <w:t>B</w:t>
      </w:r>
      <w:r w:rsidRPr="00EC248D">
        <w:rPr>
          <w:b/>
          <w:bCs/>
          <w:sz w:val="22"/>
          <w:szCs w:val="22"/>
        </w:rPr>
        <w:t>ankalarca TL üzerinden açılan kredilere uygulanan ort</w:t>
      </w:r>
      <w:r>
        <w:rPr>
          <w:b/>
          <w:bCs/>
          <w:sz w:val="22"/>
          <w:szCs w:val="22"/>
        </w:rPr>
        <w:t>a</w:t>
      </w:r>
      <w:r w:rsidRPr="00EC248D">
        <w:rPr>
          <w:b/>
          <w:bCs/>
          <w:sz w:val="22"/>
          <w:szCs w:val="22"/>
        </w:rPr>
        <w:t>lama faiz oranları</w:t>
      </w:r>
    </w:p>
    <w:p w:rsidR="00054BD3" w:rsidRDefault="00AC5A27" w:rsidP="00366A30">
      <w:pPr>
        <w:ind w:left="-360" w:right="42"/>
        <w:rPr>
          <w:noProof/>
          <w:sz w:val="20"/>
          <w:szCs w:val="20"/>
        </w:rPr>
      </w:pPr>
      <w:r>
        <w:rPr>
          <w:noProof/>
          <w:lang w:val="en-US" w:eastAsia="en-US"/>
        </w:rPr>
        <w:drawing>
          <wp:inline distT="0" distB="0" distL="0" distR="0">
            <wp:extent cx="5753735" cy="290703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53735" cy="2907030"/>
                    </a:xfrm>
                    <a:prstGeom prst="rect">
                      <a:avLst/>
                    </a:prstGeom>
                    <a:noFill/>
                    <a:ln w="9525">
                      <a:noFill/>
                      <a:miter lim="800000"/>
                      <a:headEnd/>
                      <a:tailEnd/>
                    </a:ln>
                  </pic:spPr>
                </pic:pic>
              </a:graphicData>
            </a:graphic>
          </wp:inline>
        </w:drawing>
      </w:r>
    </w:p>
    <w:p w:rsidR="00054BD3" w:rsidRDefault="00054BD3" w:rsidP="00366A30">
      <w:pPr>
        <w:ind w:left="-360" w:right="42"/>
        <w:rPr>
          <w:sz w:val="18"/>
          <w:szCs w:val="18"/>
        </w:rPr>
      </w:pPr>
      <w:r w:rsidRPr="00CC41EB">
        <w:rPr>
          <w:sz w:val="18"/>
          <w:szCs w:val="18"/>
        </w:rPr>
        <w:t xml:space="preserve">Kaynak : </w:t>
      </w:r>
      <w:r>
        <w:rPr>
          <w:sz w:val="18"/>
          <w:szCs w:val="18"/>
        </w:rPr>
        <w:t>TCMB.</w:t>
      </w:r>
    </w:p>
    <w:p w:rsidR="00054BD3" w:rsidRDefault="00054BD3" w:rsidP="00366A30">
      <w:pPr>
        <w:ind w:left="-360" w:right="42"/>
        <w:rPr>
          <w:sz w:val="18"/>
          <w:szCs w:val="18"/>
        </w:rPr>
      </w:pPr>
    </w:p>
    <w:p w:rsidR="006335A2" w:rsidRDefault="006335A2" w:rsidP="00226D50">
      <w:pPr>
        <w:spacing w:line="276" w:lineRule="auto"/>
        <w:ind w:left="-360" w:right="42"/>
        <w:jc w:val="both"/>
        <w:rPr>
          <w:b/>
          <w:bCs/>
          <w:sz w:val="22"/>
          <w:szCs w:val="22"/>
        </w:rPr>
      </w:pPr>
    </w:p>
    <w:p w:rsidR="00054BD3" w:rsidRPr="00C22309" w:rsidRDefault="00054BD3" w:rsidP="00226D50">
      <w:pPr>
        <w:spacing w:line="276" w:lineRule="auto"/>
        <w:ind w:left="-360" w:right="42"/>
        <w:jc w:val="both"/>
        <w:rPr>
          <w:b/>
          <w:bCs/>
          <w:sz w:val="22"/>
          <w:szCs w:val="22"/>
        </w:rPr>
      </w:pPr>
      <w:r>
        <w:rPr>
          <w:b/>
          <w:bCs/>
          <w:sz w:val="22"/>
          <w:szCs w:val="22"/>
        </w:rPr>
        <w:t>Şekil 5:</w:t>
      </w:r>
      <w:r w:rsidRPr="00EC248D">
        <w:rPr>
          <w:b/>
          <w:bCs/>
          <w:sz w:val="22"/>
          <w:szCs w:val="22"/>
        </w:rPr>
        <w:t xml:space="preserve"> </w:t>
      </w:r>
      <w:r>
        <w:rPr>
          <w:b/>
          <w:bCs/>
          <w:sz w:val="22"/>
          <w:szCs w:val="22"/>
        </w:rPr>
        <w:t>2012 ve 2013 yıllarında SÜE’nin bir önceki yılın aynı ayına göre artış oranları (takvim etkisinden arındırılmış)</w:t>
      </w:r>
    </w:p>
    <w:p w:rsidR="00054BD3" w:rsidRDefault="00AC5A27" w:rsidP="00C22309">
      <w:pPr>
        <w:ind w:left="-360" w:right="42"/>
        <w:jc w:val="both"/>
        <w:rPr>
          <w:sz w:val="18"/>
          <w:szCs w:val="18"/>
        </w:rPr>
      </w:pPr>
      <w:r>
        <w:rPr>
          <w:noProof/>
          <w:lang w:val="en-US" w:eastAsia="en-US"/>
        </w:rPr>
        <w:drawing>
          <wp:inline distT="0" distB="0" distL="0" distR="0">
            <wp:extent cx="5727700" cy="2700020"/>
            <wp:effectExtent l="19050" t="0" r="635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727700" cy="2700020"/>
                    </a:xfrm>
                    <a:prstGeom prst="rect">
                      <a:avLst/>
                    </a:prstGeom>
                    <a:noFill/>
                    <a:ln w="9525">
                      <a:noFill/>
                      <a:miter lim="800000"/>
                      <a:headEnd/>
                      <a:tailEnd/>
                    </a:ln>
                  </pic:spPr>
                </pic:pic>
              </a:graphicData>
            </a:graphic>
          </wp:inline>
        </w:drawing>
      </w:r>
    </w:p>
    <w:p w:rsidR="00054BD3" w:rsidRDefault="00054BD3" w:rsidP="003578FF">
      <w:pPr>
        <w:ind w:left="-360" w:right="42"/>
        <w:jc w:val="both"/>
        <w:rPr>
          <w:sz w:val="18"/>
          <w:szCs w:val="18"/>
        </w:rPr>
      </w:pPr>
      <w:r>
        <w:rPr>
          <w:sz w:val="18"/>
          <w:szCs w:val="18"/>
        </w:rPr>
        <w:t>Kaynak: TÜİK.</w:t>
      </w: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Default="00054BD3" w:rsidP="003578FF">
      <w:pPr>
        <w:ind w:left="-360" w:right="42"/>
        <w:jc w:val="both"/>
        <w:rPr>
          <w:sz w:val="18"/>
          <w:szCs w:val="18"/>
        </w:rPr>
      </w:pPr>
    </w:p>
    <w:p w:rsidR="00054BD3" w:rsidRPr="00CC41EB" w:rsidRDefault="00054BD3" w:rsidP="0072768C">
      <w:pPr>
        <w:spacing w:line="360" w:lineRule="auto"/>
        <w:ind w:right="42"/>
        <w:jc w:val="both"/>
        <w:rPr>
          <w:sz w:val="18"/>
          <w:szCs w:val="18"/>
        </w:rPr>
      </w:pPr>
    </w:p>
    <w:sectPr w:rsidR="00054BD3" w:rsidRPr="00CC41EB" w:rsidSect="000144EB">
      <w:type w:val="continuous"/>
      <w:pgSz w:w="11906" w:h="16838"/>
      <w:pgMar w:top="1417" w:right="1417"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4B" w:rsidRDefault="001A054B">
      <w:r>
        <w:separator/>
      </w:r>
    </w:p>
  </w:endnote>
  <w:endnote w:type="continuationSeparator" w:id="1">
    <w:p w:rsidR="001A054B" w:rsidRDefault="001A0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D3" w:rsidRDefault="0029480C" w:rsidP="00D830C4">
    <w:pPr>
      <w:pStyle w:val="Footer"/>
      <w:framePr w:wrap="auto" w:vAnchor="text" w:hAnchor="margin" w:xAlign="right" w:y="1"/>
      <w:rPr>
        <w:rStyle w:val="PageNumber"/>
      </w:rPr>
    </w:pPr>
    <w:r>
      <w:rPr>
        <w:rStyle w:val="PageNumber"/>
      </w:rPr>
      <w:fldChar w:fldCharType="begin"/>
    </w:r>
    <w:r w:rsidR="00054BD3">
      <w:rPr>
        <w:rStyle w:val="PageNumber"/>
      </w:rPr>
      <w:instrText xml:space="preserve">PAGE  </w:instrText>
    </w:r>
    <w:r>
      <w:rPr>
        <w:rStyle w:val="PageNumber"/>
      </w:rPr>
      <w:fldChar w:fldCharType="separate"/>
    </w:r>
    <w:r w:rsidR="00060119">
      <w:rPr>
        <w:rStyle w:val="PageNumber"/>
        <w:noProof/>
      </w:rPr>
      <w:t>1</w:t>
    </w:r>
    <w:r>
      <w:rPr>
        <w:rStyle w:val="PageNumber"/>
      </w:rPr>
      <w:fldChar w:fldCharType="end"/>
    </w:r>
  </w:p>
  <w:p w:rsidR="00054BD3" w:rsidRPr="007B51E3" w:rsidRDefault="00054BD3" w:rsidP="007B51E3">
    <w:pPr>
      <w:pStyle w:val="Footer"/>
      <w:ind w:right="360"/>
      <w:jc w:val="center"/>
      <w:rPr>
        <w:b/>
        <w:bCs/>
        <w:i/>
        <w:iCs/>
      </w:rPr>
    </w:pPr>
    <w:r w:rsidRPr="007B51E3">
      <w:rPr>
        <w:b/>
        <w:bCs/>
        <w:i/>
        <w:iCs/>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4B" w:rsidRDefault="001A054B">
      <w:r>
        <w:separator/>
      </w:r>
    </w:p>
  </w:footnote>
  <w:footnote w:type="continuationSeparator" w:id="1">
    <w:p w:rsidR="001A054B" w:rsidRDefault="001A0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57ECC"/>
    <w:rsid w:val="0000014A"/>
    <w:rsid w:val="000015B4"/>
    <w:rsid w:val="00004860"/>
    <w:rsid w:val="00004B78"/>
    <w:rsid w:val="0000704D"/>
    <w:rsid w:val="0001121A"/>
    <w:rsid w:val="000117B7"/>
    <w:rsid w:val="000144EB"/>
    <w:rsid w:val="00017809"/>
    <w:rsid w:val="000205A1"/>
    <w:rsid w:val="000212AC"/>
    <w:rsid w:val="000224B9"/>
    <w:rsid w:val="000233A7"/>
    <w:rsid w:val="00024559"/>
    <w:rsid w:val="000262EC"/>
    <w:rsid w:val="00026F21"/>
    <w:rsid w:val="00033700"/>
    <w:rsid w:val="00034090"/>
    <w:rsid w:val="0003546D"/>
    <w:rsid w:val="000449FC"/>
    <w:rsid w:val="00047B99"/>
    <w:rsid w:val="00047E9F"/>
    <w:rsid w:val="0005037D"/>
    <w:rsid w:val="00050453"/>
    <w:rsid w:val="00052D7A"/>
    <w:rsid w:val="00054BD3"/>
    <w:rsid w:val="00056118"/>
    <w:rsid w:val="00056B3E"/>
    <w:rsid w:val="00060119"/>
    <w:rsid w:val="00061732"/>
    <w:rsid w:val="00064636"/>
    <w:rsid w:val="0006518B"/>
    <w:rsid w:val="00065B3C"/>
    <w:rsid w:val="000716CA"/>
    <w:rsid w:val="00074648"/>
    <w:rsid w:val="00077A9D"/>
    <w:rsid w:val="00077FF4"/>
    <w:rsid w:val="00082FE4"/>
    <w:rsid w:val="000833C7"/>
    <w:rsid w:val="000925B3"/>
    <w:rsid w:val="00097E2B"/>
    <w:rsid w:val="000A292B"/>
    <w:rsid w:val="000A687F"/>
    <w:rsid w:val="000A6907"/>
    <w:rsid w:val="000A701D"/>
    <w:rsid w:val="000A79A0"/>
    <w:rsid w:val="000B16FB"/>
    <w:rsid w:val="000B2BF9"/>
    <w:rsid w:val="000B2E92"/>
    <w:rsid w:val="000B325E"/>
    <w:rsid w:val="000B3995"/>
    <w:rsid w:val="000B41F3"/>
    <w:rsid w:val="000B50AD"/>
    <w:rsid w:val="000B50DE"/>
    <w:rsid w:val="000B6120"/>
    <w:rsid w:val="000B6127"/>
    <w:rsid w:val="000B7E94"/>
    <w:rsid w:val="000C5B7E"/>
    <w:rsid w:val="000C7B42"/>
    <w:rsid w:val="000D0C5A"/>
    <w:rsid w:val="000D17A2"/>
    <w:rsid w:val="000D1F14"/>
    <w:rsid w:val="000D56EB"/>
    <w:rsid w:val="000D5927"/>
    <w:rsid w:val="000E10A3"/>
    <w:rsid w:val="000E1F75"/>
    <w:rsid w:val="000E4E83"/>
    <w:rsid w:val="000E5365"/>
    <w:rsid w:val="000E631E"/>
    <w:rsid w:val="000E6807"/>
    <w:rsid w:val="000E74B5"/>
    <w:rsid w:val="000E7CBB"/>
    <w:rsid w:val="000F0C2B"/>
    <w:rsid w:val="000F2DB4"/>
    <w:rsid w:val="000F360E"/>
    <w:rsid w:val="000F396D"/>
    <w:rsid w:val="000F4941"/>
    <w:rsid w:val="000F5457"/>
    <w:rsid w:val="001075D1"/>
    <w:rsid w:val="001105B2"/>
    <w:rsid w:val="001117C6"/>
    <w:rsid w:val="0011236C"/>
    <w:rsid w:val="0011279B"/>
    <w:rsid w:val="00114BC7"/>
    <w:rsid w:val="00121ABE"/>
    <w:rsid w:val="0012262F"/>
    <w:rsid w:val="001260D7"/>
    <w:rsid w:val="001267DF"/>
    <w:rsid w:val="00130959"/>
    <w:rsid w:val="0013240F"/>
    <w:rsid w:val="00132E7B"/>
    <w:rsid w:val="001331CB"/>
    <w:rsid w:val="0013381D"/>
    <w:rsid w:val="001360D1"/>
    <w:rsid w:val="00141B88"/>
    <w:rsid w:val="00141B93"/>
    <w:rsid w:val="00143024"/>
    <w:rsid w:val="00143828"/>
    <w:rsid w:val="00151BCF"/>
    <w:rsid w:val="001553F2"/>
    <w:rsid w:val="0015586B"/>
    <w:rsid w:val="0015676E"/>
    <w:rsid w:val="00156914"/>
    <w:rsid w:val="00157DC2"/>
    <w:rsid w:val="001609FA"/>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7FE3"/>
    <w:rsid w:val="0018034E"/>
    <w:rsid w:val="00181B5A"/>
    <w:rsid w:val="00182F2B"/>
    <w:rsid w:val="00183507"/>
    <w:rsid w:val="00183896"/>
    <w:rsid w:val="00186DB6"/>
    <w:rsid w:val="001938A7"/>
    <w:rsid w:val="0019538C"/>
    <w:rsid w:val="00197ACB"/>
    <w:rsid w:val="001A054B"/>
    <w:rsid w:val="001A2051"/>
    <w:rsid w:val="001A2B3D"/>
    <w:rsid w:val="001A45BC"/>
    <w:rsid w:val="001A528A"/>
    <w:rsid w:val="001A6206"/>
    <w:rsid w:val="001A772F"/>
    <w:rsid w:val="001B0683"/>
    <w:rsid w:val="001B2F96"/>
    <w:rsid w:val="001B30E0"/>
    <w:rsid w:val="001B34B5"/>
    <w:rsid w:val="001B3B49"/>
    <w:rsid w:val="001B3C7B"/>
    <w:rsid w:val="001B6AFA"/>
    <w:rsid w:val="001C184E"/>
    <w:rsid w:val="001C62D3"/>
    <w:rsid w:val="001C7334"/>
    <w:rsid w:val="001D09B1"/>
    <w:rsid w:val="001D129A"/>
    <w:rsid w:val="001D1F1B"/>
    <w:rsid w:val="001D436C"/>
    <w:rsid w:val="001E0274"/>
    <w:rsid w:val="001E27F8"/>
    <w:rsid w:val="001E30C3"/>
    <w:rsid w:val="001E4BF5"/>
    <w:rsid w:val="001E739D"/>
    <w:rsid w:val="001E7720"/>
    <w:rsid w:val="001F2761"/>
    <w:rsid w:val="001F4CFB"/>
    <w:rsid w:val="001F6F00"/>
    <w:rsid w:val="001F7144"/>
    <w:rsid w:val="001F71A5"/>
    <w:rsid w:val="001F7216"/>
    <w:rsid w:val="001F775A"/>
    <w:rsid w:val="0020167B"/>
    <w:rsid w:val="00204364"/>
    <w:rsid w:val="00206291"/>
    <w:rsid w:val="00207185"/>
    <w:rsid w:val="0020739E"/>
    <w:rsid w:val="00207CC3"/>
    <w:rsid w:val="002176C5"/>
    <w:rsid w:val="00217D35"/>
    <w:rsid w:val="00223A5B"/>
    <w:rsid w:val="002242A1"/>
    <w:rsid w:val="00224908"/>
    <w:rsid w:val="00226D50"/>
    <w:rsid w:val="002272CB"/>
    <w:rsid w:val="00231E92"/>
    <w:rsid w:val="00232243"/>
    <w:rsid w:val="0023312F"/>
    <w:rsid w:val="00237255"/>
    <w:rsid w:val="00245B1F"/>
    <w:rsid w:val="00251DE2"/>
    <w:rsid w:val="00251E82"/>
    <w:rsid w:val="00252FAF"/>
    <w:rsid w:val="00253D39"/>
    <w:rsid w:val="002569EA"/>
    <w:rsid w:val="002614C1"/>
    <w:rsid w:val="00261A05"/>
    <w:rsid w:val="00262020"/>
    <w:rsid w:val="00265BC9"/>
    <w:rsid w:val="002670FE"/>
    <w:rsid w:val="00267EB4"/>
    <w:rsid w:val="00273E62"/>
    <w:rsid w:val="00277E58"/>
    <w:rsid w:val="002816C6"/>
    <w:rsid w:val="00281D8F"/>
    <w:rsid w:val="002820F1"/>
    <w:rsid w:val="00284A28"/>
    <w:rsid w:val="00285656"/>
    <w:rsid w:val="002871E8"/>
    <w:rsid w:val="00291C79"/>
    <w:rsid w:val="0029480C"/>
    <w:rsid w:val="00295AFF"/>
    <w:rsid w:val="00297712"/>
    <w:rsid w:val="002A05DB"/>
    <w:rsid w:val="002A1FA0"/>
    <w:rsid w:val="002A49A3"/>
    <w:rsid w:val="002A5D22"/>
    <w:rsid w:val="002A66ED"/>
    <w:rsid w:val="002B3644"/>
    <w:rsid w:val="002C236E"/>
    <w:rsid w:val="002C25CE"/>
    <w:rsid w:val="002C2DA3"/>
    <w:rsid w:val="002C4200"/>
    <w:rsid w:val="002C49EC"/>
    <w:rsid w:val="002C5F2D"/>
    <w:rsid w:val="002D2F1A"/>
    <w:rsid w:val="002D3C8B"/>
    <w:rsid w:val="002D4158"/>
    <w:rsid w:val="002D584B"/>
    <w:rsid w:val="002E1EA4"/>
    <w:rsid w:val="002E6E82"/>
    <w:rsid w:val="002E6F87"/>
    <w:rsid w:val="002E7357"/>
    <w:rsid w:val="002E7860"/>
    <w:rsid w:val="002F21C6"/>
    <w:rsid w:val="002F3718"/>
    <w:rsid w:val="002F4648"/>
    <w:rsid w:val="002F5134"/>
    <w:rsid w:val="002F5C24"/>
    <w:rsid w:val="002F61A9"/>
    <w:rsid w:val="003001AF"/>
    <w:rsid w:val="0030120F"/>
    <w:rsid w:val="00303A3C"/>
    <w:rsid w:val="003044A5"/>
    <w:rsid w:val="003051E6"/>
    <w:rsid w:val="0031043B"/>
    <w:rsid w:val="003118F7"/>
    <w:rsid w:val="00312DB8"/>
    <w:rsid w:val="00312EB0"/>
    <w:rsid w:val="003134C3"/>
    <w:rsid w:val="003142BA"/>
    <w:rsid w:val="00316CE9"/>
    <w:rsid w:val="00316DB4"/>
    <w:rsid w:val="003208B4"/>
    <w:rsid w:val="003223B0"/>
    <w:rsid w:val="00323169"/>
    <w:rsid w:val="00323CA6"/>
    <w:rsid w:val="00324A91"/>
    <w:rsid w:val="003269F7"/>
    <w:rsid w:val="0033129D"/>
    <w:rsid w:val="00332DBD"/>
    <w:rsid w:val="00333B98"/>
    <w:rsid w:val="00337AE5"/>
    <w:rsid w:val="00341195"/>
    <w:rsid w:val="0034251A"/>
    <w:rsid w:val="00342E6B"/>
    <w:rsid w:val="00344555"/>
    <w:rsid w:val="0034543C"/>
    <w:rsid w:val="003466B0"/>
    <w:rsid w:val="00347FA0"/>
    <w:rsid w:val="0035343B"/>
    <w:rsid w:val="003545A8"/>
    <w:rsid w:val="003552A4"/>
    <w:rsid w:val="00356020"/>
    <w:rsid w:val="003578FF"/>
    <w:rsid w:val="00357C3B"/>
    <w:rsid w:val="00357ECC"/>
    <w:rsid w:val="003622FF"/>
    <w:rsid w:val="00362436"/>
    <w:rsid w:val="00362D77"/>
    <w:rsid w:val="00366A30"/>
    <w:rsid w:val="00375126"/>
    <w:rsid w:val="00375CC6"/>
    <w:rsid w:val="00376AC1"/>
    <w:rsid w:val="0038488E"/>
    <w:rsid w:val="00385F45"/>
    <w:rsid w:val="00390136"/>
    <w:rsid w:val="00395F95"/>
    <w:rsid w:val="00396CE9"/>
    <w:rsid w:val="00397518"/>
    <w:rsid w:val="003A2B60"/>
    <w:rsid w:val="003A2C52"/>
    <w:rsid w:val="003A31B2"/>
    <w:rsid w:val="003A3575"/>
    <w:rsid w:val="003A3A61"/>
    <w:rsid w:val="003B00C3"/>
    <w:rsid w:val="003B0F7E"/>
    <w:rsid w:val="003B199A"/>
    <w:rsid w:val="003B1BE8"/>
    <w:rsid w:val="003B2FC4"/>
    <w:rsid w:val="003B472B"/>
    <w:rsid w:val="003B5209"/>
    <w:rsid w:val="003B65FB"/>
    <w:rsid w:val="003B757A"/>
    <w:rsid w:val="003C2BAF"/>
    <w:rsid w:val="003C3188"/>
    <w:rsid w:val="003C640D"/>
    <w:rsid w:val="003C6C41"/>
    <w:rsid w:val="003C7051"/>
    <w:rsid w:val="003D0E64"/>
    <w:rsid w:val="003D7D0B"/>
    <w:rsid w:val="003D7E7F"/>
    <w:rsid w:val="003F1E42"/>
    <w:rsid w:val="003F503B"/>
    <w:rsid w:val="003F6C96"/>
    <w:rsid w:val="003F7185"/>
    <w:rsid w:val="003F7D4B"/>
    <w:rsid w:val="00402158"/>
    <w:rsid w:val="004074ED"/>
    <w:rsid w:val="00412C49"/>
    <w:rsid w:val="00414443"/>
    <w:rsid w:val="00415FC4"/>
    <w:rsid w:val="00417568"/>
    <w:rsid w:val="00421D0B"/>
    <w:rsid w:val="00422927"/>
    <w:rsid w:val="004229DE"/>
    <w:rsid w:val="004239AE"/>
    <w:rsid w:val="00423E8F"/>
    <w:rsid w:val="004251B6"/>
    <w:rsid w:val="004259B8"/>
    <w:rsid w:val="00425C5D"/>
    <w:rsid w:val="004269DA"/>
    <w:rsid w:val="00432F82"/>
    <w:rsid w:val="00434618"/>
    <w:rsid w:val="00435FF5"/>
    <w:rsid w:val="00440820"/>
    <w:rsid w:val="004441AD"/>
    <w:rsid w:val="00444DA6"/>
    <w:rsid w:val="004466EA"/>
    <w:rsid w:val="004475A9"/>
    <w:rsid w:val="0044794F"/>
    <w:rsid w:val="00453D77"/>
    <w:rsid w:val="00454965"/>
    <w:rsid w:val="00461612"/>
    <w:rsid w:val="0046178B"/>
    <w:rsid w:val="00462314"/>
    <w:rsid w:val="00462E07"/>
    <w:rsid w:val="00463512"/>
    <w:rsid w:val="0046362C"/>
    <w:rsid w:val="00463BBF"/>
    <w:rsid w:val="00466C2F"/>
    <w:rsid w:val="004701D0"/>
    <w:rsid w:val="00474D75"/>
    <w:rsid w:val="004771EB"/>
    <w:rsid w:val="004814F0"/>
    <w:rsid w:val="00482771"/>
    <w:rsid w:val="00483C58"/>
    <w:rsid w:val="00484222"/>
    <w:rsid w:val="00494345"/>
    <w:rsid w:val="004A0D43"/>
    <w:rsid w:val="004A1818"/>
    <w:rsid w:val="004A4E4F"/>
    <w:rsid w:val="004A56E7"/>
    <w:rsid w:val="004A7750"/>
    <w:rsid w:val="004A7FE6"/>
    <w:rsid w:val="004B0B90"/>
    <w:rsid w:val="004B30FB"/>
    <w:rsid w:val="004B3F80"/>
    <w:rsid w:val="004B40EE"/>
    <w:rsid w:val="004C0A8D"/>
    <w:rsid w:val="004C25F6"/>
    <w:rsid w:val="004D100D"/>
    <w:rsid w:val="004D3901"/>
    <w:rsid w:val="004D3F5D"/>
    <w:rsid w:val="004D67C5"/>
    <w:rsid w:val="004D7E65"/>
    <w:rsid w:val="004E00D0"/>
    <w:rsid w:val="004E07DC"/>
    <w:rsid w:val="004E0851"/>
    <w:rsid w:val="004E0939"/>
    <w:rsid w:val="004E1AE2"/>
    <w:rsid w:val="004E5446"/>
    <w:rsid w:val="004F059F"/>
    <w:rsid w:val="004F55F8"/>
    <w:rsid w:val="004F6ACE"/>
    <w:rsid w:val="004F7447"/>
    <w:rsid w:val="00505141"/>
    <w:rsid w:val="005066A2"/>
    <w:rsid w:val="00506CD9"/>
    <w:rsid w:val="00511EF3"/>
    <w:rsid w:val="00512AE9"/>
    <w:rsid w:val="00513FBF"/>
    <w:rsid w:val="0051750C"/>
    <w:rsid w:val="00522063"/>
    <w:rsid w:val="00522ED0"/>
    <w:rsid w:val="00523C58"/>
    <w:rsid w:val="0052557E"/>
    <w:rsid w:val="00526CC9"/>
    <w:rsid w:val="0052770E"/>
    <w:rsid w:val="005310F8"/>
    <w:rsid w:val="0053163F"/>
    <w:rsid w:val="00534CA7"/>
    <w:rsid w:val="00535BAD"/>
    <w:rsid w:val="00536B3B"/>
    <w:rsid w:val="00537DBB"/>
    <w:rsid w:val="005435C8"/>
    <w:rsid w:val="00543E56"/>
    <w:rsid w:val="00544A5C"/>
    <w:rsid w:val="005470EC"/>
    <w:rsid w:val="00556328"/>
    <w:rsid w:val="00563399"/>
    <w:rsid w:val="00571282"/>
    <w:rsid w:val="00573C3B"/>
    <w:rsid w:val="0058722C"/>
    <w:rsid w:val="0058799A"/>
    <w:rsid w:val="00587F62"/>
    <w:rsid w:val="00593B80"/>
    <w:rsid w:val="00596A1C"/>
    <w:rsid w:val="005A06D3"/>
    <w:rsid w:val="005A0AF8"/>
    <w:rsid w:val="005A2B2E"/>
    <w:rsid w:val="005A3E49"/>
    <w:rsid w:val="005A4714"/>
    <w:rsid w:val="005B551F"/>
    <w:rsid w:val="005B5D93"/>
    <w:rsid w:val="005B66C8"/>
    <w:rsid w:val="005C0A9A"/>
    <w:rsid w:val="005C28BC"/>
    <w:rsid w:val="005C4EA4"/>
    <w:rsid w:val="005D0287"/>
    <w:rsid w:val="005D39F3"/>
    <w:rsid w:val="005D7E62"/>
    <w:rsid w:val="005E13DF"/>
    <w:rsid w:val="005E1D9A"/>
    <w:rsid w:val="005E2983"/>
    <w:rsid w:val="005E3EE4"/>
    <w:rsid w:val="005F03CC"/>
    <w:rsid w:val="005F2063"/>
    <w:rsid w:val="005F2279"/>
    <w:rsid w:val="005F2A5B"/>
    <w:rsid w:val="005F31BE"/>
    <w:rsid w:val="005F700B"/>
    <w:rsid w:val="006007C7"/>
    <w:rsid w:val="006015A3"/>
    <w:rsid w:val="00602BC6"/>
    <w:rsid w:val="00602EB0"/>
    <w:rsid w:val="00603311"/>
    <w:rsid w:val="00603C6D"/>
    <w:rsid w:val="006079B9"/>
    <w:rsid w:val="00613A11"/>
    <w:rsid w:val="00613B72"/>
    <w:rsid w:val="0062291A"/>
    <w:rsid w:val="00623B31"/>
    <w:rsid w:val="0062575D"/>
    <w:rsid w:val="0063164E"/>
    <w:rsid w:val="006335A2"/>
    <w:rsid w:val="0064166F"/>
    <w:rsid w:val="00643C4C"/>
    <w:rsid w:val="00644764"/>
    <w:rsid w:val="00647676"/>
    <w:rsid w:val="00647DB4"/>
    <w:rsid w:val="006502E3"/>
    <w:rsid w:val="00660F48"/>
    <w:rsid w:val="0066619C"/>
    <w:rsid w:val="00670A74"/>
    <w:rsid w:val="006713C0"/>
    <w:rsid w:val="006717CE"/>
    <w:rsid w:val="00674304"/>
    <w:rsid w:val="00674779"/>
    <w:rsid w:val="00676D51"/>
    <w:rsid w:val="00676EAB"/>
    <w:rsid w:val="00680C1A"/>
    <w:rsid w:val="006836A7"/>
    <w:rsid w:val="00683A24"/>
    <w:rsid w:val="006868AD"/>
    <w:rsid w:val="00691D96"/>
    <w:rsid w:val="00692D34"/>
    <w:rsid w:val="00693B96"/>
    <w:rsid w:val="00695F24"/>
    <w:rsid w:val="00696507"/>
    <w:rsid w:val="0069776E"/>
    <w:rsid w:val="006A507F"/>
    <w:rsid w:val="006A53AA"/>
    <w:rsid w:val="006A7193"/>
    <w:rsid w:val="006B08B4"/>
    <w:rsid w:val="006B12C5"/>
    <w:rsid w:val="006B2978"/>
    <w:rsid w:val="006B6367"/>
    <w:rsid w:val="006C034B"/>
    <w:rsid w:val="006C2AB7"/>
    <w:rsid w:val="006C4184"/>
    <w:rsid w:val="006C6C6F"/>
    <w:rsid w:val="006C74FB"/>
    <w:rsid w:val="006E0C79"/>
    <w:rsid w:val="006E3384"/>
    <w:rsid w:val="006E4051"/>
    <w:rsid w:val="006E480B"/>
    <w:rsid w:val="006E5E68"/>
    <w:rsid w:val="006F0B18"/>
    <w:rsid w:val="006F1A82"/>
    <w:rsid w:val="006F2049"/>
    <w:rsid w:val="006F278A"/>
    <w:rsid w:val="006F33D4"/>
    <w:rsid w:val="006F3ECA"/>
    <w:rsid w:val="006F7FE6"/>
    <w:rsid w:val="00701A0C"/>
    <w:rsid w:val="0070556E"/>
    <w:rsid w:val="007067F4"/>
    <w:rsid w:val="0070704B"/>
    <w:rsid w:val="007103A2"/>
    <w:rsid w:val="00712041"/>
    <w:rsid w:val="007169B6"/>
    <w:rsid w:val="00724574"/>
    <w:rsid w:val="00725236"/>
    <w:rsid w:val="0072768C"/>
    <w:rsid w:val="007343EE"/>
    <w:rsid w:val="007357A6"/>
    <w:rsid w:val="00745E22"/>
    <w:rsid w:val="0074648A"/>
    <w:rsid w:val="00747A9B"/>
    <w:rsid w:val="0075074A"/>
    <w:rsid w:val="007522D9"/>
    <w:rsid w:val="00752330"/>
    <w:rsid w:val="00753469"/>
    <w:rsid w:val="0075405B"/>
    <w:rsid w:val="0075696F"/>
    <w:rsid w:val="007633AA"/>
    <w:rsid w:val="007652AE"/>
    <w:rsid w:val="00767D6E"/>
    <w:rsid w:val="00770580"/>
    <w:rsid w:val="00770D1C"/>
    <w:rsid w:val="007750EF"/>
    <w:rsid w:val="007806C4"/>
    <w:rsid w:val="00781ECE"/>
    <w:rsid w:val="00783C9A"/>
    <w:rsid w:val="00783CDF"/>
    <w:rsid w:val="007906E2"/>
    <w:rsid w:val="00790FFD"/>
    <w:rsid w:val="007956C2"/>
    <w:rsid w:val="00797B31"/>
    <w:rsid w:val="007A311A"/>
    <w:rsid w:val="007A35F3"/>
    <w:rsid w:val="007A36DD"/>
    <w:rsid w:val="007A69DC"/>
    <w:rsid w:val="007B19BC"/>
    <w:rsid w:val="007B51E3"/>
    <w:rsid w:val="007B6D85"/>
    <w:rsid w:val="007B7BF7"/>
    <w:rsid w:val="007C31F8"/>
    <w:rsid w:val="007C3C2B"/>
    <w:rsid w:val="007C3C78"/>
    <w:rsid w:val="007D02A6"/>
    <w:rsid w:val="007D0625"/>
    <w:rsid w:val="007D3176"/>
    <w:rsid w:val="007D3E0C"/>
    <w:rsid w:val="007D5551"/>
    <w:rsid w:val="007D5CAE"/>
    <w:rsid w:val="007D745B"/>
    <w:rsid w:val="007E10C4"/>
    <w:rsid w:val="007E13CA"/>
    <w:rsid w:val="007E182F"/>
    <w:rsid w:val="007E1D25"/>
    <w:rsid w:val="007E276E"/>
    <w:rsid w:val="007E5E9A"/>
    <w:rsid w:val="007E6A0D"/>
    <w:rsid w:val="007F1E8F"/>
    <w:rsid w:val="007F4136"/>
    <w:rsid w:val="007F4F91"/>
    <w:rsid w:val="007F50E5"/>
    <w:rsid w:val="00801F91"/>
    <w:rsid w:val="00807D3E"/>
    <w:rsid w:val="00814196"/>
    <w:rsid w:val="00815549"/>
    <w:rsid w:val="008161FE"/>
    <w:rsid w:val="00816C3F"/>
    <w:rsid w:val="00817438"/>
    <w:rsid w:val="00820F9B"/>
    <w:rsid w:val="00821B78"/>
    <w:rsid w:val="00822C11"/>
    <w:rsid w:val="00825F84"/>
    <w:rsid w:val="0082670B"/>
    <w:rsid w:val="00826C7D"/>
    <w:rsid w:val="00826E1D"/>
    <w:rsid w:val="008275B7"/>
    <w:rsid w:val="00830339"/>
    <w:rsid w:val="008322F7"/>
    <w:rsid w:val="008332DD"/>
    <w:rsid w:val="00833B68"/>
    <w:rsid w:val="00835E44"/>
    <w:rsid w:val="00842957"/>
    <w:rsid w:val="0084320B"/>
    <w:rsid w:val="008432FC"/>
    <w:rsid w:val="008446FE"/>
    <w:rsid w:val="00856509"/>
    <w:rsid w:val="00860D72"/>
    <w:rsid w:val="00860E25"/>
    <w:rsid w:val="00862B92"/>
    <w:rsid w:val="00864323"/>
    <w:rsid w:val="008646F5"/>
    <w:rsid w:val="008651A8"/>
    <w:rsid w:val="00870A39"/>
    <w:rsid w:val="0088522E"/>
    <w:rsid w:val="00885634"/>
    <w:rsid w:val="00885D0C"/>
    <w:rsid w:val="0089029A"/>
    <w:rsid w:val="00892423"/>
    <w:rsid w:val="008937F7"/>
    <w:rsid w:val="00893BD5"/>
    <w:rsid w:val="00893EE3"/>
    <w:rsid w:val="008A0F64"/>
    <w:rsid w:val="008A25ED"/>
    <w:rsid w:val="008A34AA"/>
    <w:rsid w:val="008A38AB"/>
    <w:rsid w:val="008A74B0"/>
    <w:rsid w:val="008B0C8D"/>
    <w:rsid w:val="008B1D17"/>
    <w:rsid w:val="008B20AA"/>
    <w:rsid w:val="008B372B"/>
    <w:rsid w:val="008B39CE"/>
    <w:rsid w:val="008C0DBE"/>
    <w:rsid w:val="008C17F4"/>
    <w:rsid w:val="008C1D9F"/>
    <w:rsid w:val="008C2D77"/>
    <w:rsid w:val="008C6252"/>
    <w:rsid w:val="008C6E50"/>
    <w:rsid w:val="008D3976"/>
    <w:rsid w:val="008E252E"/>
    <w:rsid w:val="008E31DD"/>
    <w:rsid w:val="008E339A"/>
    <w:rsid w:val="008E63CB"/>
    <w:rsid w:val="008F4166"/>
    <w:rsid w:val="008F6889"/>
    <w:rsid w:val="009014BB"/>
    <w:rsid w:val="00901532"/>
    <w:rsid w:val="00903097"/>
    <w:rsid w:val="00905111"/>
    <w:rsid w:val="00906149"/>
    <w:rsid w:val="00906F88"/>
    <w:rsid w:val="00910940"/>
    <w:rsid w:val="009125B5"/>
    <w:rsid w:val="00914DE2"/>
    <w:rsid w:val="009158BC"/>
    <w:rsid w:val="00916619"/>
    <w:rsid w:val="00917893"/>
    <w:rsid w:val="00922C21"/>
    <w:rsid w:val="00923AE7"/>
    <w:rsid w:val="00924D1B"/>
    <w:rsid w:val="0092546B"/>
    <w:rsid w:val="00934BE6"/>
    <w:rsid w:val="00935355"/>
    <w:rsid w:val="00936426"/>
    <w:rsid w:val="00937243"/>
    <w:rsid w:val="00947DB1"/>
    <w:rsid w:val="00952B02"/>
    <w:rsid w:val="00953ED7"/>
    <w:rsid w:val="00964F65"/>
    <w:rsid w:val="00965891"/>
    <w:rsid w:val="00966E7C"/>
    <w:rsid w:val="00970E4E"/>
    <w:rsid w:val="00971D26"/>
    <w:rsid w:val="00973503"/>
    <w:rsid w:val="0097445D"/>
    <w:rsid w:val="0097770C"/>
    <w:rsid w:val="009805A1"/>
    <w:rsid w:val="00985C16"/>
    <w:rsid w:val="00987648"/>
    <w:rsid w:val="00990455"/>
    <w:rsid w:val="00995F40"/>
    <w:rsid w:val="009A1DF2"/>
    <w:rsid w:val="009A6149"/>
    <w:rsid w:val="009A67E1"/>
    <w:rsid w:val="009B2429"/>
    <w:rsid w:val="009B2569"/>
    <w:rsid w:val="009B3130"/>
    <w:rsid w:val="009B33E7"/>
    <w:rsid w:val="009B43D6"/>
    <w:rsid w:val="009B51E4"/>
    <w:rsid w:val="009B5AF5"/>
    <w:rsid w:val="009C1700"/>
    <w:rsid w:val="009C3D1C"/>
    <w:rsid w:val="009C5B58"/>
    <w:rsid w:val="009D1323"/>
    <w:rsid w:val="009D24A5"/>
    <w:rsid w:val="009D30C5"/>
    <w:rsid w:val="009D3B55"/>
    <w:rsid w:val="009D42E8"/>
    <w:rsid w:val="009D54DD"/>
    <w:rsid w:val="009D7D1D"/>
    <w:rsid w:val="009E001E"/>
    <w:rsid w:val="009E04AB"/>
    <w:rsid w:val="009E2A57"/>
    <w:rsid w:val="009F0111"/>
    <w:rsid w:val="009F3AF4"/>
    <w:rsid w:val="009F44C0"/>
    <w:rsid w:val="009F4848"/>
    <w:rsid w:val="009F48FB"/>
    <w:rsid w:val="009F6003"/>
    <w:rsid w:val="00A005E9"/>
    <w:rsid w:val="00A007F2"/>
    <w:rsid w:val="00A0089E"/>
    <w:rsid w:val="00A0243A"/>
    <w:rsid w:val="00A05AB1"/>
    <w:rsid w:val="00A05DEF"/>
    <w:rsid w:val="00A06C55"/>
    <w:rsid w:val="00A0768E"/>
    <w:rsid w:val="00A11474"/>
    <w:rsid w:val="00A127F7"/>
    <w:rsid w:val="00A15634"/>
    <w:rsid w:val="00A158E0"/>
    <w:rsid w:val="00A15C76"/>
    <w:rsid w:val="00A17B41"/>
    <w:rsid w:val="00A208D0"/>
    <w:rsid w:val="00A21872"/>
    <w:rsid w:val="00A22568"/>
    <w:rsid w:val="00A24179"/>
    <w:rsid w:val="00A24957"/>
    <w:rsid w:val="00A26C29"/>
    <w:rsid w:val="00A302B8"/>
    <w:rsid w:val="00A31CEE"/>
    <w:rsid w:val="00A35FDD"/>
    <w:rsid w:val="00A42300"/>
    <w:rsid w:val="00A43507"/>
    <w:rsid w:val="00A44366"/>
    <w:rsid w:val="00A52995"/>
    <w:rsid w:val="00A5424F"/>
    <w:rsid w:val="00A56C6E"/>
    <w:rsid w:val="00A60D5C"/>
    <w:rsid w:val="00A61240"/>
    <w:rsid w:val="00A61A84"/>
    <w:rsid w:val="00A646B7"/>
    <w:rsid w:val="00A648F9"/>
    <w:rsid w:val="00A656AC"/>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46B4"/>
    <w:rsid w:val="00A94A4A"/>
    <w:rsid w:val="00A95141"/>
    <w:rsid w:val="00A9533A"/>
    <w:rsid w:val="00A95966"/>
    <w:rsid w:val="00A9596F"/>
    <w:rsid w:val="00A95AFE"/>
    <w:rsid w:val="00AA2CBB"/>
    <w:rsid w:val="00AB039C"/>
    <w:rsid w:val="00AB1830"/>
    <w:rsid w:val="00AB3495"/>
    <w:rsid w:val="00AB621E"/>
    <w:rsid w:val="00AC042A"/>
    <w:rsid w:val="00AC1F06"/>
    <w:rsid w:val="00AC35DA"/>
    <w:rsid w:val="00AC5A27"/>
    <w:rsid w:val="00AC6123"/>
    <w:rsid w:val="00AD17F9"/>
    <w:rsid w:val="00AD261F"/>
    <w:rsid w:val="00AD3B9A"/>
    <w:rsid w:val="00AD6CCB"/>
    <w:rsid w:val="00AE3819"/>
    <w:rsid w:val="00AF0A2F"/>
    <w:rsid w:val="00AF2D7A"/>
    <w:rsid w:val="00AF34E9"/>
    <w:rsid w:val="00AF418F"/>
    <w:rsid w:val="00AF501D"/>
    <w:rsid w:val="00AF5731"/>
    <w:rsid w:val="00B01D63"/>
    <w:rsid w:val="00B0213C"/>
    <w:rsid w:val="00B03004"/>
    <w:rsid w:val="00B14F53"/>
    <w:rsid w:val="00B15E16"/>
    <w:rsid w:val="00B169C6"/>
    <w:rsid w:val="00B16F1E"/>
    <w:rsid w:val="00B17F4D"/>
    <w:rsid w:val="00B20A56"/>
    <w:rsid w:val="00B20E32"/>
    <w:rsid w:val="00B22E31"/>
    <w:rsid w:val="00B25C94"/>
    <w:rsid w:val="00B260EF"/>
    <w:rsid w:val="00B33409"/>
    <w:rsid w:val="00B35D10"/>
    <w:rsid w:val="00B377EE"/>
    <w:rsid w:val="00B41700"/>
    <w:rsid w:val="00B503A1"/>
    <w:rsid w:val="00B546A7"/>
    <w:rsid w:val="00B63DCD"/>
    <w:rsid w:val="00B66C47"/>
    <w:rsid w:val="00B678AE"/>
    <w:rsid w:val="00B734A4"/>
    <w:rsid w:val="00B7373D"/>
    <w:rsid w:val="00B7481B"/>
    <w:rsid w:val="00B7575B"/>
    <w:rsid w:val="00B75E88"/>
    <w:rsid w:val="00B76583"/>
    <w:rsid w:val="00B818D8"/>
    <w:rsid w:val="00B8309A"/>
    <w:rsid w:val="00B8531E"/>
    <w:rsid w:val="00B85CE5"/>
    <w:rsid w:val="00B90BA8"/>
    <w:rsid w:val="00B92E98"/>
    <w:rsid w:val="00B95352"/>
    <w:rsid w:val="00B95B43"/>
    <w:rsid w:val="00B96EF2"/>
    <w:rsid w:val="00BA025C"/>
    <w:rsid w:val="00BA05C3"/>
    <w:rsid w:val="00BA3190"/>
    <w:rsid w:val="00BA5D76"/>
    <w:rsid w:val="00BA7AE8"/>
    <w:rsid w:val="00BB0F72"/>
    <w:rsid w:val="00BB7F10"/>
    <w:rsid w:val="00BC30A4"/>
    <w:rsid w:val="00BD0A78"/>
    <w:rsid w:val="00BD317C"/>
    <w:rsid w:val="00BD4012"/>
    <w:rsid w:val="00BD4C7C"/>
    <w:rsid w:val="00BD56EA"/>
    <w:rsid w:val="00BD571A"/>
    <w:rsid w:val="00BD63F8"/>
    <w:rsid w:val="00BD6CAF"/>
    <w:rsid w:val="00BE153E"/>
    <w:rsid w:val="00BE15F2"/>
    <w:rsid w:val="00BE505A"/>
    <w:rsid w:val="00BF1AF8"/>
    <w:rsid w:val="00BF1B17"/>
    <w:rsid w:val="00BF236B"/>
    <w:rsid w:val="00BF2EC3"/>
    <w:rsid w:val="00BF3950"/>
    <w:rsid w:val="00BF446B"/>
    <w:rsid w:val="00BF4FCC"/>
    <w:rsid w:val="00BF79CD"/>
    <w:rsid w:val="00C01643"/>
    <w:rsid w:val="00C05A89"/>
    <w:rsid w:val="00C144C8"/>
    <w:rsid w:val="00C15A9A"/>
    <w:rsid w:val="00C16CFB"/>
    <w:rsid w:val="00C22309"/>
    <w:rsid w:val="00C2241D"/>
    <w:rsid w:val="00C2696C"/>
    <w:rsid w:val="00C34369"/>
    <w:rsid w:val="00C37220"/>
    <w:rsid w:val="00C378F1"/>
    <w:rsid w:val="00C37AB3"/>
    <w:rsid w:val="00C41CA4"/>
    <w:rsid w:val="00C43F2E"/>
    <w:rsid w:val="00C45FC0"/>
    <w:rsid w:val="00C466DC"/>
    <w:rsid w:val="00C51DE5"/>
    <w:rsid w:val="00C523A6"/>
    <w:rsid w:val="00C54FB9"/>
    <w:rsid w:val="00C57553"/>
    <w:rsid w:val="00C602D7"/>
    <w:rsid w:val="00C61305"/>
    <w:rsid w:val="00C614D4"/>
    <w:rsid w:val="00C62404"/>
    <w:rsid w:val="00C64881"/>
    <w:rsid w:val="00C656AE"/>
    <w:rsid w:val="00C66780"/>
    <w:rsid w:val="00C6711A"/>
    <w:rsid w:val="00C674EC"/>
    <w:rsid w:val="00C7136A"/>
    <w:rsid w:val="00C71602"/>
    <w:rsid w:val="00C71A7C"/>
    <w:rsid w:val="00C72130"/>
    <w:rsid w:val="00C74078"/>
    <w:rsid w:val="00C7614F"/>
    <w:rsid w:val="00C76273"/>
    <w:rsid w:val="00C76560"/>
    <w:rsid w:val="00C76DE9"/>
    <w:rsid w:val="00C82CE3"/>
    <w:rsid w:val="00C86DB6"/>
    <w:rsid w:val="00C86E29"/>
    <w:rsid w:val="00C87E34"/>
    <w:rsid w:val="00C9025C"/>
    <w:rsid w:val="00C91E59"/>
    <w:rsid w:val="00C97E2D"/>
    <w:rsid w:val="00CA1407"/>
    <w:rsid w:val="00CA18D6"/>
    <w:rsid w:val="00CA325A"/>
    <w:rsid w:val="00CA6DDE"/>
    <w:rsid w:val="00CA7888"/>
    <w:rsid w:val="00CB0B83"/>
    <w:rsid w:val="00CB1C91"/>
    <w:rsid w:val="00CB6117"/>
    <w:rsid w:val="00CB630B"/>
    <w:rsid w:val="00CB6878"/>
    <w:rsid w:val="00CC26C6"/>
    <w:rsid w:val="00CC41EB"/>
    <w:rsid w:val="00CC6F25"/>
    <w:rsid w:val="00CC706E"/>
    <w:rsid w:val="00CD11E2"/>
    <w:rsid w:val="00CD3014"/>
    <w:rsid w:val="00CD3056"/>
    <w:rsid w:val="00CD7FBD"/>
    <w:rsid w:val="00CE14FE"/>
    <w:rsid w:val="00CE2137"/>
    <w:rsid w:val="00CE24B5"/>
    <w:rsid w:val="00CE3AF5"/>
    <w:rsid w:val="00CE4C78"/>
    <w:rsid w:val="00CF0733"/>
    <w:rsid w:val="00CF5055"/>
    <w:rsid w:val="00CF715C"/>
    <w:rsid w:val="00CF7322"/>
    <w:rsid w:val="00D0010E"/>
    <w:rsid w:val="00D00F45"/>
    <w:rsid w:val="00D00FC4"/>
    <w:rsid w:val="00D04A8E"/>
    <w:rsid w:val="00D0799D"/>
    <w:rsid w:val="00D1089B"/>
    <w:rsid w:val="00D126AA"/>
    <w:rsid w:val="00D13D16"/>
    <w:rsid w:val="00D15819"/>
    <w:rsid w:val="00D26305"/>
    <w:rsid w:val="00D312D4"/>
    <w:rsid w:val="00D33A36"/>
    <w:rsid w:val="00D402FC"/>
    <w:rsid w:val="00D406B0"/>
    <w:rsid w:val="00D4227C"/>
    <w:rsid w:val="00D42C68"/>
    <w:rsid w:val="00D43E2F"/>
    <w:rsid w:val="00D513DF"/>
    <w:rsid w:val="00D5298B"/>
    <w:rsid w:val="00D535DB"/>
    <w:rsid w:val="00D55853"/>
    <w:rsid w:val="00D56E97"/>
    <w:rsid w:val="00D570F9"/>
    <w:rsid w:val="00D5795D"/>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91A6A"/>
    <w:rsid w:val="00D93383"/>
    <w:rsid w:val="00D9393A"/>
    <w:rsid w:val="00D9715E"/>
    <w:rsid w:val="00D97A66"/>
    <w:rsid w:val="00DA32F2"/>
    <w:rsid w:val="00DA726A"/>
    <w:rsid w:val="00DA764E"/>
    <w:rsid w:val="00DB00CB"/>
    <w:rsid w:val="00DB1E70"/>
    <w:rsid w:val="00DB3357"/>
    <w:rsid w:val="00DC0405"/>
    <w:rsid w:val="00DC091F"/>
    <w:rsid w:val="00DC1D93"/>
    <w:rsid w:val="00DC549D"/>
    <w:rsid w:val="00DC56E7"/>
    <w:rsid w:val="00DD0735"/>
    <w:rsid w:val="00DD2B14"/>
    <w:rsid w:val="00DD473D"/>
    <w:rsid w:val="00DD531F"/>
    <w:rsid w:val="00DD6811"/>
    <w:rsid w:val="00DD7BD2"/>
    <w:rsid w:val="00DE24A1"/>
    <w:rsid w:val="00DE4389"/>
    <w:rsid w:val="00DF296A"/>
    <w:rsid w:val="00DF3B71"/>
    <w:rsid w:val="00DF4B59"/>
    <w:rsid w:val="00DF5714"/>
    <w:rsid w:val="00DF681E"/>
    <w:rsid w:val="00E00A2B"/>
    <w:rsid w:val="00E00D87"/>
    <w:rsid w:val="00E027F3"/>
    <w:rsid w:val="00E0294F"/>
    <w:rsid w:val="00E032DD"/>
    <w:rsid w:val="00E03533"/>
    <w:rsid w:val="00E0362D"/>
    <w:rsid w:val="00E05674"/>
    <w:rsid w:val="00E10712"/>
    <w:rsid w:val="00E13763"/>
    <w:rsid w:val="00E23E58"/>
    <w:rsid w:val="00E24026"/>
    <w:rsid w:val="00E33043"/>
    <w:rsid w:val="00E47905"/>
    <w:rsid w:val="00E5304A"/>
    <w:rsid w:val="00E5462B"/>
    <w:rsid w:val="00E55275"/>
    <w:rsid w:val="00E567CB"/>
    <w:rsid w:val="00E57110"/>
    <w:rsid w:val="00E60FC8"/>
    <w:rsid w:val="00E6437E"/>
    <w:rsid w:val="00E651A3"/>
    <w:rsid w:val="00E651DE"/>
    <w:rsid w:val="00E666C1"/>
    <w:rsid w:val="00E702BA"/>
    <w:rsid w:val="00E70A5E"/>
    <w:rsid w:val="00E72307"/>
    <w:rsid w:val="00E72EB0"/>
    <w:rsid w:val="00E74B0A"/>
    <w:rsid w:val="00E76174"/>
    <w:rsid w:val="00E7627C"/>
    <w:rsid w:val="00E764C2"/>
    <w:rsid w:val="00E817A2"/>
    <w:rsid w:val="00E82B03"/>
    <w:rsid w:val="00E84728"/>
    <w:rsid w:val="00E84CB8"/>
    <w:rsid w:val="00E84EE0"/>
    <w:rsid w:val="00E8610D"/>
    <w:rsid w:val="00E90C78"/>
    <w:rsid w:val="00E9147A"/>
    <w:rsid w:val="00E91E27"/>
    <w:rsid w:val="00E9281F"/>
    <w:rsid w:val="00E9440E"/>
    <w:rsid w:val="00E94945"/>
    <w:rsid w:val="00E95868"/>
    <w:rsid w:val="00E96583"/>
    <w:rsid w:val="00E97567"/>
    <w:rsid w:val="00EA33CB"/>
    <w:rsid w:val="00EA6751"/>
    <w:rsid w:val="00EB4482"/>
    <w:rsid w:val="00EB49A5"/>
    <w:rsid w:val="00EB5496"/>
    <w:rsid w:val="00EB5C55"/>
    <w:rsid w:val="00EB5E9B"/>
    <w:rsid w:val="00EB7160"/>
    <w:rsid w:val="00EB7CE3"/>
    <w:rsid w:val="00EC248D"/>
    <w:rsid w:val="00EC4125"/>
    <w:rsid w:val="00EC4648"/>
    <w:rsid w:val="00EC7A05"/>
    <w:rsid w:val="00ED17DF"/>
    <w:rsid w:val="00ED2B78"/>
    <w:rsid w:val="00ED645C"/>
    <w:rsid w:val="00ED64F0"/>
    <w:rsid w:val="00ED678E"/>
    <w:rsid w:val="00ED72CE"/>
    <w:rsid w:val="00ED7A5F"/>
    <w:rsid w:val="00EE22FB"/>
    <w:rsid w:val="00EE435F"/>
    <w:rsid w:val="00EE777A"/>
    <w:rsid w:val="00EF1239"/>
    <w:rsid w:val="00EF1FB2"/>
    <w:rsid w:val="00EF5035"/>
    <w:rsid w:val="00F00700"/>
    <w:rsid w:val="00F03E8D"/>
    <w:rsid w:val="00F049A0"/>
    <w:rsid w:val="00F0528A"/>
    <w:rsid w:val="00F062AF"/>
    <w:rsid w:val="00F06960"/>
    <w:rsid w:val="00F101F2"/>
    <w:rsid w:val="00F104FE"/>
    <w:rsid w:val="00F12CB3"/>
    <w:rsid w:val="00F12FF6"/>
    <w:rsid w:val="00F312EE"/>
    <w:rsid w:val="00F34491"/>
    <w:rsid w:val="00F37B3A"/>
    <w:rsid w:val="00F437F0"/>
    <w:rsid w:val="00F5252A"/>
    <w:rsid w:val="00F55025"/>
    <w:rsid w:val="00F56F34"/>
    <w:rsid w:val="00F57028"/>
    <w:rsid w:val="00F5769D"/>
    <w:rsid w:val="00F632BB"/>
    <w:rsid w:val="00F65107"/>
    <w:rsid w:val="00F651A0"/>
    <w:rsid w:val="00F6557A"/>
    <w:rsid w:val="00F6592D"/>
    <w:rsid w:val="00F742C9"/>
    <w:rsid w:val="00F75BFF"/>
    <w:rsid w:val="00F83188"/>
    <w:rsid w:val="00F837BB"/>
    <w:rsid w:val="00F83E3C"/>
    <w:rsid w:val="00F853BF"/>
    <w:rsid w:val="00F86020"/>
    <w:rsid w:val="00F93DEC"/>
    <w:rsid w:val="00F97DA6"/>
    <w:rsid w:val="00FA01C6"/>
    <w:rsid w:val="00FA1735"/>
    <w:rsid w:val="00FA6BA4"/>
    <w:rsid w:val="00FA79B3"/>
    <w:rsid w:val="00FB4B87"/>
    <w:rsid w:val="00FC0700"/>
    <w:rsid w:val="00FC0B9A"/>
    <w:rsid w:val="00FC2F6E"/>
    <w:rsid w:val="00FC2FA5"/>
    <w:rsid w:val="00FC36DC"/>
    <w:rsid w:val="00FC4DB4"/>
    <w:rsid w:val="00FC611D"/>
    <w:rsid w:val="00FC7EAB"/>
    <w:rsid w:val="00FD02FB"/>
    <w:rsid w:val="00FD213A"/>
    <w:rsid w:val="00FD37B4"/>
    <w:rsid w:val="00FD3AB3"/>
    <w:rsid w:val="00FD5F80"/>
    <w:rsid w:val="00FD6745"/>
    <w:rsid w:val="00FE0BEA"/>
    <w:rsid w:val="00FE1C93"/>
    <w:rsid w:val="00FF5608"/>
    <w:rsid w:val="00FF5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D1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C3D1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basedOn w:val="DefaultParagraphFont"/>
    <w:link w:val="FootnoteText"/>
    <w:uiPriority w:val="99"/>
    <w:semiHidden/>
    <w:locked/>
    <w:rsid w:val="00522063"/>
    <w:rPr>
      <w:lang w:val="tr-TR" w:eastAsia="tr-TR"/>
    </w:rPr>
  </w:style>
  <w:style w:type="character" w:styleId="FootnoteReference">
    <w:name w:val="footnote reference"/>
    <w:basedOn w:val="DefaultParagraphFont"/>
    <w:uiPriority w:val="99"/>
    <w:semiHidden/>
    <w:rsid w:val="00D0799D"/>
    <w:rPr>
      <w:vertAlign w:val="superscript"/>
    </w:rPr>
  </w:style>
  <w:style w:type="character" w:styleId="Hyperlink">
    <w:name w:val="Hyperlink"/>
    <w:basedOn w:val="DefaultParagraphFont"/>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basedOn w:val="DefaultParagraphFont"/>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basedOn w:val="DefaultParagraphFont"/>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mailto:baris.soybilgen@bahcesehir.edu.tr" TargetMode="External"/><Relationship Id="rId4" Type="http://schemas.openxmlformats.org/officeDocument/2006/relationships/webSettings" Target="webSettings.xml"/><Relationship Id="rId9" Type="http://schemas.openxmlformats.org/officeDocument/2006/relationships/hyperlink" Target="mailto:zumrut.imamoglu@bahcesehir.edu.tr"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oş</vt:lpstr>
    </vt:vector>
  </TitlesOfParts>
  <Company>unv</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subject/>
  <dc:creator>baris.soybilgen</dc:creator>
  <cp:keywords/>
  <dc:description/>
  <cp:lastModifiedBy>baris.soybilgen</cp:lastModifiedBy>
  <cp:revision>4</cp:revision>
  <cp:lastPrinted>2013-04-11T08:38:00Z</cp:lastPrinted>
  <dcterms:created xsi:type="dcterms:W3CDTF">2013-04-11T08:35:00Z</dcterms:created>
  <dcterms:modified xsi:type="dcterms:W3CDTF">2013-04-11T08:39:00Z</dcterms:modified>
</cp:coreProperties>
</file>