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95" w:rsidRDefault="005C2A01"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363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pic:spPr>
                </pic:pic>
              </a:graphicData>
            </a:graphic>
          </wp:anchor>
        </w:drawing>
      </w:r>
      <w:r w:rsidR="00993F8D" w:rsidRPr="00993F8D">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45pt;width:312.1pt;height:44.8pt;z-index:251654656;mso-wrap-distance-left:9.05pt;mso-wrap-distance-right:9.05pt;mso-position-horizontal-relative:text;mso-position-vertical-relative:text" stroked="f">
            <v:fill opacity="0" color2="black"/>
            <v:textbox style="mso-next-textbox:#_x0000_s1027" inset="0,0,0,0">
              <w:txbxContent>
                <w:p w:rsidR="00CB3495" w:rsidRPr="00342E6B" w:rsidRDefault="00CB3495" w:rsidP="00024559">
                  <w:pPr>
                    <w:pStyle w:val="Balk1"/>
                    <w:rPr>
                      <w:rFonts w:ascii="Times New Roman" w:hAnsi="Times New Roman" w:cs="Times New Roman"/>
                      <w:sz w:val="40"/>
                      <w:szCs w:val="40"/>
                    </w:rPr>
                  </w:pPr>
                  <w:r>
                    <w:rPr>
                      <w:rFonts w:ascii="Times New Roman" w:hAnsi="Times New Roman" w:cs="Times New Roman"/>
                      <w:sz w:val="40"/>
                      <w:szCs w:val="40"/>
                    </w:rPr>
                    <w:t>Ekonomik Görünüm ve Tahminler: Ekim 2012</w:t>
                  </w:r>
                </w:p>
                <w:p w:rsidR="00CB3495" w:rsidRPr="00A75A46" w:rsidRDefault="00CB3495" w:rsidP="00024559">
                  <w:pPr>
                    <w:pStyle w:val="Balk2"/>
                    <w:rPr>
                      <w:b w:val="0"/>
                      <w:bCs w:val="0"/>
                      <w:i w:val="0"/>
                      <w:iCs w:val="0"/>
                      <w:lang w:val="nl-NL"/>
                    </w:rPr>
                  </w:pPr>
                </w:p>
              </w:txbxContent>
            </v:textbox>
          </v:shape>
        </w:pict>
      </w:r>
    </w:p>
    <w:p w:rsidR="00CB3495" w:rsidRDefault="00993F8D" w:rsidP="001E4BF5">
      <w:pPr>
        <w:spacing w:line="360" w:lineRule="auto"/>
        <w:ind w:right="-319"/>
        <w:jc w:val="center"/>
        <w:outlineLvl w:val="0"/>
        <w:rPr>
          <w:rFonts w:ascii="Arial" w:hAnsi="Arial" w:cs="Arial"/>
          <w:b/>
          <w:bCs/>
          <w:sz w:val="32"/>
          <w:szCs w:val="32"/>
        </w:rPr>
      </w:pPr>
      <w:r w:rsidRPr="00993F8D">
        <w:rPr>
          <w:noProof/>
        </w:rPr>
        <w:lastRenderedPageBreak/>
        <w:pict>
          <v:shape id="_x0000_s1028" type="#_x0000_t202" style="position:absolute;left:0;text-align:left;margin-left:158.3pt;margin-top:18pt;width:90.45pt;height:27.45pt;z-index:251655680;mso-wrap-distance-left:9.05pt;mso-wrap-distance-right:9.05pt" stroked="f">
            <v:fill opacity="0" color2="black"/>
            <v:textbox style="mso-next-textbox:#_x0000_s1028" inset="0,0,0,0">
              <w:txbxContent>
                <w:p w:rsidR="00CB3495" w:rsidRPr="0015586B" w:rsidRDefault="00CB3495" w:rsidP="00024559">
                  <w:pPr>
                    <w:pStyle w:val="Balk3"/>
                    <w:rPr>
                      <w:color w:val="FFFFFF"/>
                      <w:sz w:val="22"/>
                      <w:szCs w:val="22"/>
                      <w:lang w:val="tr-TR"/>
                    </w:rPr>
                  </w:pPr>
                  <w:r>
                    <w:rPr>
                      <w:color w:val="FFFFFF"/>
                      <w:sz w:val="22"/>
                      <w:szCs w:val="22"/>
                      <w:lang w:val="tr-TR"/>
                    </w:rPr>
                    <w:t xml:space="preserve">       11.10.2012</w:t>
                  </w:r>
                </w:p>
                <w:p w:rsidR="00CB3495" w:rsidRDefault="00CB3495" w:rsidP="00024559"/>
              </w:txbxContent>
            </v:textbox>
          </v:shape>
        </w:pict>
      </w:r>
    </w:p>
    <w:p w:rsidR="00CB3495" w:rsidRDefault="00CB3495" w:rsidP="001E4BF5">
      <w:pPr>
        <w:spacing w:line="360" w:lineRule="auto"/>
        <w:ind w:right="-319"/>
        <w:jc w:val="center"/>
        <w:outlineLvl w:val="0"/>
        <w:rPr>
          <w:rFonts w:ascii="Arial" w:hAnsi="Arial" w:cs="Arial"/>
          <w:b/>
          <w:bCs/>
          <w:sz w:val="32"/>
          <w:szCs w:val="32"/>
        </w:rPr>
        <w:sectPr w:rsidR="00CB3495" w:rsidSect="00357ECC">
          <w:footerReference w:type="default" r:id="rId9"/>
          <w:pgSz w:w="11906" w:h="16838"/>
          <w:pgMar w:top="1417" w:right="1417" w:bottom="1417" w:left="1417" w:header="708" w:footer="708" w:gutter="0"/>
          <w:cols w:num="2" w:space="708" w:equalWidth="0">
            <w:col w:w="4182" w:space="708"/>
            <w:col w:w="4182"/>
          </w:cols>
          <w:docGrid w:linePitch="360"/>
        </w:sectPr>
      </w:pPr>
    </w:p>
    <w:p w:rsidR="00CB3495" w:rsidRDefault="00CB3495" w:rsidP="001E4BF5">
      <w:pPr>
        <w:spacing w:line="360" w:lineRule="auto"/>
        <w:ind w:right="-319"/>
        <w:outlineLvl w:val="0"/>
        <w:rPr>
          <w:rFonts w:ascii="Arial" w:hAnsi="Arial" w:cs="Arial"/>
          <w:b/>
          <w:bCs/>
          <w:sz w:val="32"/>
          <w:szCs w:val="32"/>
        </w:rPr>
      </w:pPr>
    </w:p>
    <w:p w:rsidR="00CB3495" w:rsidRPr="00D63675" w:rsidRDefault="005C2A01" w:rsidP="00A7254E">
      <w:pPr>
        <w:ind w:right="-317"/>
        <w:jc w:val="center"/>
        <w:outlineLvl w:val="0"/>
        <w:rPr>
          <w:rFonts w:ascii="Arial" w:hAnsi="Arial" w:cs="Arial"/>
          <w:b/>
          <w:bCs/>
          <w:caps/>
          <w:sz w:val="28"/>
          <w:szCs w:val="28"/>
        </w:rPr>
      </w:pPr>
      <w:r>
        <w:rPr>
          <w:rFonts w:ascii="Arial" w:hAnsi="Arial" w:cs="Arial"/>
          <w:b/>
          <w:bCs/>
          <w:caps/>
          <w:sz w:val="28"/>
          <w:szCs w:val="28"/>
        </w:rPr>
        <w:t>ekonomi yavaşlamaya devaM</w:t>
      </w:r>
      <w:r w:rsidR="00CB3495">
        <w:rPr>
          <w:rFonts w:ascii="Arial" w:hAnsi="Arial" w:cs="Arial"/>
          <w:b/>
          <w:bCs/>
          <w:caps/>
          <w:sz w:val="28"/>
          <w:szCs w:val="28"/>
        </w:rPr>
        <w:t xml:space="preserve"> ediyor</w:t>
      </w:r>
    </w:p>
    <w:p w:rsidR="00CB3495" w:rsidRPr="00E702BA" w:rsidRDefault="00CB3495" w:rsidP="00522063">
      <w:pPr>
        <w:ind w:right="-317"/>
        <w:jc w:val="center"/>
        <w:outlineLvl w:val="0"/>
        <w:rPr>
          <w:rFonts w:ascii="Arial" w:hAnsi="Arial" w:cs="Arial"/>
          <w:b/>
          <w:bCs/>
          <w:caps/>
        </w:rPr>
      </w:pPr>
    </w:p>
    <w:p w:rsidR="00CB3495" w:rsidRPr="00D63675" w:rsidRDefault="00CB3495"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Pr="00D63675">
        <w:rPr>
          <w:rFonts w:ascii="Arial" w:hAnsi="Arial" w:cs="Arial"/>
          <w:b/>
          <w:bCs/>
          <w:sz w:val="21"/>
          <w:szCs w:val="21"/>
          <w:vertAlign w:val="superscript"/>
        </w:rPr>
        <w:t>†</w:t>
      </w:r>
    </w:p>
    <w:p w:rsidR="00CB3495" w:rsidRDefault="00CB3495" w:rsidP="00D837A8">
      <w:pPr>
        <w:spacing w:line="360" w:lineRule="auto"/>
        <w:ind w:right="-319"/>
        <w:jc w:val="center"/>
        <w:outlineLvl w:val="0"/>
        <w:rPr>
          <w:rFonts w:ascii="Arial" w:hAnsi="Arial" w:cs="Arial"/>
          <w:sz w:val="22"/>
          <w:szCs w:val="22"/>
          <w:vertAlign w:val="superscript"/>
        </w:rPr>
      </w:pPr>
    </w:p>
    <w:p w:rsidR="00CB3495" w:rsidRPr="004A7FE6" w:rsidRDefault="00CB3495" w:rsidP="00D837A8">
      <w:pPr>
        <w:spacing w:line="360" w:lineRule="auto"/>
        <w:ind w:right="-319"/>
        <w:jc w:val="center"/>
        <w:outlineLvl w:val="0"/>
        <w:rPr>
          <w:rFonts w:ascii="Arial" w:hAnsi="Arial" w:cs="Arial"/>
          <w:sz w:val="22"/>
          <w:szCs w:val="22"/>
          <w:vertAlign w:val="superscript"/>
        </w:rPr>
        <w:sectPr w:rsidR="00CB3495" w:rsidRPr="004A7FE6" w:rsidSect="008651A8">
          <w:type w:val="continuous"/>
          <w:pgSz w:w="11906" w:h="16838"/>
          <w:pgMar w:top="1417" w:right="1417" w:bottom="1417" w:left="1417" w:header="708" w:footer="708" w:gutter="0"/>
          <w:cols w:space="708"/>
          <w:docGrid w:linePitch="360"/>
        </w:sectPr>
      </w:pPr>
    </w:p>
    <w:p w:rsidR="00CB3495" w:rsidRDefault="00CB3495" w:rsidP="00CE2137">
      <w:pPr>
        <w:spacing w:line="360" w:lineRule="auto"/>
        <w:ind w:left="-360" w:right="42" w:firstLine="360"/>
        <w:jc w:val="center"/>
        <w:rPr>
          <w:b/>
          <w:bCs/>
          <w:sz w:val="22"/>
          <w:szCs w:val="22"/>
        </w:rPr>
      </w:pPr>
      <w:r w:rsidRPr="004A7FE6">
        <w:rPr>
          <w:b/>
          <w:bCs/>
          <w:sz w:val="22"/>
          <w:szCs w:val="22"/>
        </w:rPr>
        <w:lastRenderedPageBreak/>
        <w:t>Yönetici Özeti</w:t>
      </w:r>
    </w:p>
    <w:p w:rsidR="00CB3495" w:rsidRDefault="00CB3495" w:rsidP="00CE2137">
      <w:pPr>
        <w:spacing w:line="360" w:lineRule="auto"/>
        <w:ind w:left="-360" w:right="42" w:firstLine="360"/>
        <w:jc w:val="center"/>
        <w:rPr>
          <w:b/>
          <w:bCs/>
          <w:sz w:val="22"/>
          <w:szCs w:val="22"/>
        </w:rPr>
      </w:pPr>
    </w:p>
    <w:p w:rsidR="00CB3495" w:rsidRDefault="00CB3495" w:rsidP="00A7254E">
      <w:pPr>
        <w:spacing w:line="360" w:lineRule="auto"/>
        <w:ind w:left="-360" w:right="40"/>
        <w:jc w:val="both"/>
        <w:rPr>
          <w:sz w:val="22"/>
          <w:szCs w:val="22"/>
        </w:rPr>
      </w:pPr>
      <w:r>
        <w:rPr>
          <w:sz w:val="22"/>
          <w:szCs w:val="22"/>
        </w:rPr>
        <w:t xml:space="preserve">Sanayi Üretim Endeksi (SÜE) Ağustos ayında Temmuz ayına göre yüzde 2,3 oranında azaldı. İhracat miktar endeksi yüzde 8,7 artarken, ithalat miktar endeksi yüzde 2,0 oranında azaldı. Ağustos ayında sanayi üretim endeksindeki düşüş kapasite kullanım oranında uzun süredir devam eden azalmayla örtüşüyor. İhracattaki artış ise altından arındırıldığında yüzde 4,6 düzeyine iniyor. İki aylık göstergelere göre üçüncü çeyrekte yatırımlarda düşüş bekliyoruz. Tüketimde ise küçük bir artış tahmin ediyoruz. Bu gelişmelerin ışığında Betam’ın üçüncü çeyreğe ilişkin tahmini aşağı yönlü revize edildi. GSYH’ın yılın ikinci çeyreğine göre yüzde 0,4 oranında büyüyeceğini tahmin ediyoruz. Bu tahmine göre 3. çeyrekte bir önceki yılın aynı dönemine göre büyüme oranını yüzde 2,5 olarak hesaplıyoruz. </w:t>
      </w:r>
    </w:p>
    <w:p w:rsidR="00CB3495" w:rsidRDefault="00CB3495" w:rsidP="00A7254E">
      <w:pPr>
        <w:spacing w:line="360" w:lineRule="auto"/>
        <w:ind w:left="-360" w:right="40"/>
        <w:jc w:val="both"/>
        <w:rPr>
          <w:sz w:val="22"/>
          <w:szCs w:val="22"/>
        </w:rPr>
      </w:pPr>
    </w:p>
    <w:p w:rsidR="00CB3495" w:rsidRDefault="00CB3495" w:rsidP="00A7254E">
      <w:pPr>
        <w:spacing w:line="360" w:lineRule="auto"/>
        <w:ind w:left="-360" w:right="40"/>
        <w:jc w:val="both"/>
        <w:rPr>
          <w:sz w:val="22"/>
          <w:szCs w:val="22"/>
        </w:rPr>
      </w:pPr>
      <w:r>
        <w:rPr>
          <w:sz w:val="22"/>
          <w:szCs w:val="22"/>
        </w:rPr>
        <w:t xml:space="preserve">12 aylık cari açık toplamı Temmuz ayında 61,4 milyar dolara inmişti. Ağustos ayında ayında da </w:t>
      </w:r>
      <w:r w:rsidRPr="009014BB">
        <w:rPr>
          <w:sz w:val="22"/>
          <w:szCs w:val="22"/>
        </w:rPr>
        <w:t>2,8 milyar dolar daha azalarak 59 milyar dolar oldu.</w:t>
      </w:r>
      <w:r>
        <w:rPr>
          <w:sz w:val="22"/>
          <w:szCs w:val="22"/>
        </w:rPr>
        <w:t xml:space="preserve"> Üçüncü çeyrek sonunda cari açığın GSYH’a oranının </w:t>
      </w:r>
      <w:r w:rsidRPr="009014BB">
        <w:rPr>
          <w:sz w:val="22"/>
          <w:szCs w:val="22"/>
        </w:rPr>
        <w:t>yüzde 7,2’ye</w:t>
      </w:r>
      <w:r>
        <w:rPr>
          <w:sz w:val="22"/>
          <w:szCs w:val="22"/>
        </w:rPr>
        <w:t xml:space="preserve"> düşeceğini tahmin ediyoruz. </w:t>
      </w:r>
    </w:p>
    <w:p w:rsidR="00CB3495" w:rsidRDefault="00CB3495" w:rsidP="00A7254E">
      <w:pPr>
        <w:spacing w:line="360" w:lineRule="auto"/>
        <w:ind w:left="-360" w:right="40"/>
        <w:jc w:val="both"/>
        <w:rPr>
          <w:sz w:val="22"/>
          <w:szCs w:val="22"/>
        </w:rPr>
      </w:pPr>
    </w:p>
    <w:p w:rsidR="00CB3495" w:rsidRDefault="00993F8D" w:rsidP="00D837A8">
      <w:pPr>
        <w:spacing w:line="288" w:lineRule="auto"/>
        <w:ind w:right="-318"/>
        <w:jc w:val="both"/>
        <w:rPr>
          <w:rFonts w:ascii="Arial" w:hAnsi="Arial" w:cs="Arial"/>
          <w:sz w:val="16"/>
          <w:szCs w:val="16"/>
        </w:rPr>
      </w:pPr>
      <w:r w:rsidRPr="00993F8D">
        <w:rPr>
          <w:noProof/>
        </w:rPr>
        <w:pict>
          <v:line id="_x0000_s1029" style="position:absolute;left:0;text-align:left;z-index:251656704" from="-17.25pt,5.35pt" to="180.75pt,5.4pt"/>
        </w:pict>
      </w:r>
      <w:r>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wrap type="none"/>
            <w10:anchorlock/>
          </v:group>
        </w:pict>
      </w:r>
    </w:p>
    <w:p w:rsidR="00CB3495" w:rsidRPr="00C2696C" w:rsidRDefault="00CB3495" w:rsidP="00D837A8">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CB3495" w:rsidRDefault="00CB3495" w:rsidP="00D837A8">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10" w:history="1">
        <w:r w:rsidRPr="005E1D9A">
          <w:rPr>
            <w:rStyle w:val="Kpr"/>
            <w:rFonts w:ascii="Arial" w:hAnsi="Arial" w:cs="Arial"/>
            <w:sz w:val="16"/>
            <w:szCs w:val="16"/>
          </w:rPr>
          <w:t>zumrut.imamoglu@bahcesehir.edu.tr</w:t>
        </w:r>
      </w:hyperlink>
    </w:p>
    <w:p w:rsidR="00CB3495" w:rsidRPr="00C2696C" w:rsidRDefault="00CB3495" w:rsidP="00D837A8">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CB3495" w:rsidRDefault="00CB3495" w:rsidP="00D837A8">
      <w:pPr>
        <w:ind w:left="-360"/>
        <w:rPr>
          <w:rFonts w:ascii="Arial" w:hAnsi="Arial" w:cs="Arial"/>
          <w:sz w:val="16"/>
          <w:szCs w:val="16"/>
        </w:rPr>
      </w:pPr>
      <w:r w:rsidRPr="00970E4E">
        <w:rPr>
          <w:sz w:val="16"/>
          <w:szCs w:val="16"/>
        </w:rPr>
        <w:t xml:space="preserve">  </w:t>
      </w:r>
      <w:hyperlink r:id="rId11" w:history="1">
        <w:r w:rsidRPr="005E1D9A">
          <w:rPr>
            <w:rStyle w:val="Kpr"/>
            <w:rFonts w:ascii="Arial" w:hAnsi="Arial" w:cs="Arial"/>
            <w:sz w:val="16"/>
            <w:szCs w:val="16"/>
          </w:rPr>
          <w:t>baris.soybilgen@bahcesehir.edu.tr</w:t>
        </w:r>
      </w:hyperlink>
    </w:p>
    <w:p w:rsidR="00CB3495" w:rsidRDefault="00CB3495" w:rsidP="009C5B58">
      <w:pPr>
        <w:ind w:right="42"/>
        <w:rPr>
          <w:b/>
          <w:bCs/>
          <w:sz w:val="22"/>
          <w:szCs w:val="22"/>
        </w:rPr>
      </w:pPr>
    </w:p>
    <w:p w:rsidR="00CB3495" w:rsidRDefault="00CB3495" w:rsidP="009C5B58">
      <w:pPr>
        <w:ind w:right="42"/>
        <w:rPr>
          <w:b/>
          <w:bCs/>
          <w:sz w:val="22"/>
          <w:szCs w:val="22"/>
        </w:rPr>
      </w:pPr>
    </w:p>
    <w:p w:rsidR="00CB3495" w:rsidRDefault="00CB3495" w:rsidP="00C2241D">
      <w:pPr>
        <w:ind w:right="42"/>
        <w:jc w:val="center"/>
        <w:rPr>
          <w:b/>
          <w:bCs/>
          <w:sz w:val="22"/>
          <w:szCs w:val="22"/>
        </w:rPr>
      </w:pPr>
    </w:p>
    <w:p w:rsidR="00CB3495" w:rsidRDefault="00CB3495" w:rsidP="00833B68">
      <w:pPr>
        <w:ind w:left="-360"/>
        <w:rPr>
          <w:b/>
          <w:bCs/>
          <w:sz w:val="22"/>
          <w:szCs w:val="22"/>
        </w:rPr>
      </w:pPr>
    </w:p>
    <w:p w:rsidR="00CB3495" w:rsidRDefault="00CB3495" w:rsidP="00833B68">
      <w:pPr>
        <w:ind w:left="-360"/>
        <w:rPr>
          <w:b/>
          <w:bCs/>
          <w:sz w:val="22"/>
          <w:szCs w:val="22"/>
        </w:rPr>
      </w:pPr>
    </w:p>
    <w:p w:rsidR="00CB3495" w:rsidRDefault="00CB3495" w:rsidP="00833B68">
      <w:pPr>
        <w:ind w:left="-36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 xml:space="preserve">’ın </w:t>
      </w:r>
      <w:r>
        <w:rPr>
          <w:b/>
          <w:bCs/>
          <w:sz w:val="22"/>
          <w:szCs w:val="22"/>
        </w:rPr>
        <w:t>büyüme</w:t>
      </w:r>
      <w:r w:rsidRPr="008C6E50">
        <w:rPr>
          <w:b/>
          <w:bCs/>
          <w:sz w:val="22"/>
          <w:szCs w:val="22"/>
        </w:rPr>
        <w:t xml:space="preserve"> ve </w:t>
      </w:r>
      <w:r>
        <w:rPr>
          <w:b/>
          <w:bCs/>
          <w:sz w:val="22"/>
          <w:szCs w:val="22"/>
        </w:rPr>
        <w:t>cari a</w:t>
      </w:r>
      <w:r w:rsidRPr="008C6E50">
        <w:rPr>
          <w:b/>
          <w:bCs/>
          <w:sz w:val="22"/>
          <w:szCs w:val="22"/>
        </w:rPr>
        <w:t xml:space="preserve">çık </w:t>
      </w:r>
    </w:p>
    <w:p w:rsidR="00CB3495" w:rsidRDefault="00CB3495" w:rsidP="00833B68">
      <w:pPr>
        <w:ind w:left="-360"/>
        <w:rPr>
          <w:b/>
          <w:bCs/>
          <w:sz w:val="22"/>
          <w:szCs w:val="22"/>
        </w:rPr>
      </w:pPr>
      <w:r>
        <w:rPr>
          <w:b/>
          <w:bCs/>
          <w:sz w:val="22"/>
          <w:szCs w:val="22"/>
        </w:rPr>
        <w:t>t</w:t>
      </w:r>
      <w:r w:rsidRPr="008C6E50">
        <w:rPr>
          <w:b/>
          <w:bCs/>
          <w:sz w:val="22"/>
          <w:szCs w:val="22"/>
        </w:rPr>
        <w:t>ahminleri</w:t>
      </w:r>
    </w:p>
    <w:tbl>
      <w:tblPr>
        <w:tblpPr w:leftFromText="141" w:rightFromText="141" w:vertAnchor="text" w:horzAnchor="margin" w:tblpXSpec="right" w:tblpY="46"/>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1532"/>
      </w:tblGrid>
      <w:tr w:rsidR="00CB3495">
        <w:trPr>
          <w:trHeight w:val="986"/>
        </w:trPr>
        <w:tc>
          <w:tcPr>
            <w:tcW w:w="3088" w:type="dxa"/>
            <w:tcMar>
              <w:left w:w="28" w:type="dxa"/>
              <w:right w:w="28" w:type="dxa"/>
            </w:tcMar>
            <w:vAlign w:val="center"/>
          </w:tcPr>
          <w:p w:rsidR="00CB3495" w:rsidRPr="003118F7" w:rsidRDefault="00CB3495" w:rsidP="00833B68">
            <w:pPr>
              <w:ind w:right="42"/>
              <w:jc w:val="center"/>
              <w:rPr>
                <w:sz w:val="20"/>
                <w:szCs w:val="20"/>
              </w:rPr>
            </w:pPr>
          </w:p>
        </w:tc>
        <w:tc>
          <w:tcPr>
            <w:tcW w:w="1532" w:type="dxa"/>
            <w:vAlign w:val="center"/>
          </w:tcPr>
          <w:p w:rsidR="00CB3495" w:rsidRDefault="00CB3495" w:rsidP="00833B68">
            <w:pPr>
              <w:ind w:right="40"/>
              <w:jc w:val="center"/>
              <w:rPr>
                <w:b/>
                <w:bCs/>
                <w:sz w:val="20"/>
                <w:szCs w:val="20"/>
              </w:rPr>
            </w:pPr>
            <w:r>
              <w:rPr>
                <w:b/>
                <w:bCs/>
                <w:sz w:val="20"/>
                <w:szCs w:val="20"/>
              </w:rPr>
              <w:t>2012</w:t>
            </w:r>
          </w:p>
          <w:p w:rsidR="00CB3495" w:rsidRDefault="00CB3495" w:rsidP="00833B68">
            <w:pPr>
              <w:ind w:right="40"/>
              <w:jc w:val="center"/>
              <w:rPr>
                <w:b/>
                <w:bCs/>
                <w:sz w:val="20"/>
                <w:szCs w:val="20"/>
              </w:rPr>
            </w:pPr>
            <w:r>
              <w:rPr>
                <w:b/>
                <w:bCs/>
                <w:sz w:val="20"/>
                <w:szCs w:val="20"/>
              </w:rPr>
              <w:t>3. Çeyrek</w:t>
            </w:r>
          </w:p>
          <w:p w:rsidR="00CB3495" w:rsidRDefault="00CB3495" w:rsidP="00833B68">
            <w:pPr>
              <w:ind w:right="40"/>
              <w:jc w:val="center"/>
              <w:rPr>
                <w:b/>
                <w:bCs/>
                <w:sz w:val="20"/>
                <w:szCs w:val="20"/>
              </w:rPr>
            </w:pPr>
            <w:r>
              <w:rPr>
                <w:b/>
                <w:bCs/>
                <w:sz w:val="20"/>
                <w:szCs w:val="20"/>
              </w:rPr>
              <w:t>Tahmin</w:t>
            </w:r>
          </w:p>
        </w:tc>
      </w:tr>
      <w:tr w:rsidR="00CB3495">
        <w:trPr>
          <w:trHeight w:val="771"/>
        </w:trPr>
        <w:tc>
          <w:tcPr>
            <w:tcW w:w="3088" w:type="dxa"/>
            <w:tcMar>
              <w:left w:w="28" w:type="dxa"/>
              <w:right w:w="28" w:type="dxa"/>
            </w:tcMar>
            <w:vAlign w:val="center"/>
          </w:tcPr>
          <w:p w:rsidR="00CB3495" w:rsidRPr="003118F7" w:rsidRDefault="00CB3495" w:rsidP="00833B68">
            <w:pPr>
              <w:ind w:right="42"/>
              <w:rPr>
                <w:sz w:val="20"/>
                <w:szCs w:val="20"/>
              </w:rPr>
            </w:pPr>
            <w:r w:rsidRPr="003118F7">
              <w:rPr>
                <w:sz w:val="20"/>
                <w:szCs w:val="20"/>
              </w:rPr>
              <w:t>GS</w:t>
            </w:r>
            <w:r>
              <w:rPr>
                <w:sz w:val="20"/>
                <w:szCs w:val="20"/>
              </w:rPr>
              <w:t>YH büyüme (</w:t>
            </w:r>
            <w:r w:rsidRPr="003118F7">
              <w:rPr>
                <w:sz w:val="20"/>
                <w:szCs w:val="20"/>
              </w:rPr>
              <w:t>reel</w:t>
            </w:r>
            <w:r>
              <w:rPr>
                <w:sz w:val="20"/>
                <w:szCs w:val="20"/>
              </w:rPr>
              <w:t>, %)</w:t>
            </w:r>
          </w:p>
          <w:p w:rsidR="00CB3495" w:rsidRPr="003118F7" w:rsidRDefault="00CB3495" w:rsidP="00833B68">
            <w:pPr>
              <w:ind w:right="42"/>
              <w:rPr>
                <w:sz w:val="20"/>
                <w:szCs w:val="20"/>
              </w:rPr>
            </w:pPr>
            <w:r w:rsidRPr="003118F7">
              <w:rPr>
                <w:sz w:val="20"/>
                <w:szCs w:val="20"/>
              </w:rPr>
              <w:t>(bir önceki çeyreğe göre, mea*)</w:t>
            </w:r>
          </w:p>
        </w:tc>
        <w:tc>
          <w:tcPr>
            <w:tcW w:w="1532" w:type="dxa"/>
            <w:vAlign w:val="center"/>
          </w:tcPr>
          <w:p w:rsidR="00CB3495" w:rsidRDefault="00CB3495" w:rsidP="00833B68">
            <w:pPr>
              <w:ind w:right="42"/>
              <w:jc w:val="center"/>
              <w:rPr>
                <w:sz w:val="20"/>
                <w:szCs w:val="20"/>
              </w:rPr>
            </w:pPr>
            <w:r>
              <w:rPr>
                <w:sz w:val="20"/>
                <w:szCs w:val="20"/>
              </w:rPr>
              <w:t>0,4</w:t>
            </w:r>
          </w:p>
        </w:tc>
      </w:tr>
      <w:tr w:rsidR="00CB3495">
        <w:trPr>
          <w:trHeight w:val="756"/>
        </w:trPr>
        <w:tc>
          <w:tcPr>
            <w:tcW w:w="3088" w:type="dxa"/>
            <w:tcMar>
              <w:left w:w="28" w:type="dxa"/>
              <w:right w:w="28" w:type="dxa"/>
            </w:tcMar>
            <w:vAlign w:val="center"/>
          </w:tcPr>
          <w:p w:rsidR="00CB3495" w:rsidRPr="003118F7" w:rsidRDefault="00CB3495" w:rsidP="00833B68">
            <w:pPr>
              <w:ind w:right="42"/>
              <w:rPr>
                <w:sz w:val="20"/>
                <w:szCs w:val="20"/>
              </w:rPr>
            </w:pPr>
            <w:r w:rsidRPr="003118F7">
              <w:rPr>
                <w:sz w:val="20"/>
                <w:szCs w:val="20"/>
              </w:rPr>
              <w:t>GSYH büyüme</w:t>
            </w:r>
            <w:r>
              <w:rPr>
                <w:sz w:val="20"/>
                <w:szCs w:val="20"/>
              </w:rPr>
              <w:t xml:space="preserve"> (</w:t>
            </w:r>
            <w:r w:rsidRPr="003118F7">
              <w:rPr>
                <w:sz w:val="20"/>
                <w:szCs w:val="20"/>
              </w:rPr>
              <w:t>reel</w:t>
            </w:r>
            <w:r>
              <w:rPr>
                <w:sz w:val="20"/>
                <w:szCs w:val="20"/>
              </w:rPr>
              <w:t>, %)</w:t>
            </w:r>
            <w:r w:rsidRPr="003118F7">
              <w:rPr>
                <w:sz w:val="20"/>
                <w:szCs w:val="20"/>
              </w:rPr>
              <w:t xml:space="preserve"> (geçen yılın aynı çeyreğine göre, tea**)</w:t>
            </w:r>
          </w:p>
        </w:tc>
        <w:tc>
          <w:tcPr>
            <w:tcW w:w="1532" w:type="dxa"/>
            <w:vAlign w:val="center"/>
          </w:tcPr>
          <w:p w:rsidR="00CB3495" w:rsidRDefault="00CB3495" w:rsidP="00833B68">
            <w:pPr>
              <w:ind w:right="42"/>
              <w:jc w:val="center"/>
              <w:rPr>
                <w:sz w:val="20"/>
                <w:szCs w:val="20"/>
              </w:rPr>
            </w:pPr>
            <w:r>
              <w:rPr>
                <w:sz w:val="20"/>
                <w:szCs w:val="20"/>
              </w:rPr>
              <w:t>2,5</w:t>
            </w:r>
          </w:p>
        </w:tc>
      </w:tr>
      <w:tr w:rsidR="00CB3495">
        <w:trPr>
          <w:trHeight w:val="583"/>
        </w:trPr>
        <w:tc>
          <w:tcPr>
            <w:tcW w:w="3088" w:type="dxa"/>
            <w:tcMar>
              <w:left w:w="28" w:type="dxa"/>
              <w:right w:w="28" w:type="dxa"/>
            </w:tcMar>
            <w:vAlign w:val="center"/>
          </w:tcPr>
          <w:p w:rsidR="00CB3495" w:rsidRPr="003118F7" w:rsidRDefault="00CB3495" w:rsidP="00833B68">
            <w:pPr>
              <w:ind w:right="40"/>
              <w:rPr>
                <w:sz w:val="20"/>
                <w:szCs w:val="20"/>
              </w:rPr>
            </w:pPr>
            <w:r w:rsidRPr="003118F7">
              <w:rPr>
                <w:sz w:val="20"/>
                <w:szCs w:val="20"/>
              </w:rPr>
              <w:t>Cari Açık (</w:t>
            </w:r>
            <w:r>
              <w:rPr>
                <w:sz w:val="20"/>
                <w:szCs w:val="20"/>
              </w:rPr>
              <w:t xml:space="preserve">GSYH’a oran </w:t>
            </w:r>
            <w:r w:rsidRPr="003118F7">
              <w:rPr>
                <w:sz w:val="20"/>
                <w:szCs w:val="20"/>
              </w:rPr>
              <w:t>yıllık</w:t>
            </w:r>
            <w:r>
              <w:rPr>
                <w:sz w:val="20"/>
                <w:szCs w:val="20"/>
              </w:rPr>
              <w:t>, %</w:t>
            </w:r>
            <w:r w:rsidRPr="003118F7">
              <w:rPr>
                <w:sz w:val="20"/>
                <w:szCs w:val="20"/>
              </w:rPr>
              <w:t>)</w:t>
            </w:r>
          </w:p>
        </w:tc>
        <w:tc>
          <w:tcPr>
            <w:tcW w:w="1532" w:type="dxa"/>
            <w:vAlign w:val="center"/>
          </w:tcPr>
          <w:p w:rsidR="00CB3495" w:rsidRDefault="00CB3495" w:rsidP="00833B68">
            <w:pPr>
              <w:ind w:right="40"/>
              <w:jc w:val="center"/>
              <w:rPr>
                <w:sz w:val="20"/>
                <w:szCs w:val="20"/>
              </w:rPr>
            </w:pPr>
            <w:r>
              <w:rPr>
                <w:sz w:val="20"/>
                <w:szCs w:val="20"/>
              </w:rPr>
              <w:t>7,2</w:t>
            </w:r>
          </w:p>
        </w:tc>
      </w:tr>
    </w:tbl>
    <w:p w:rsidR="00CB3495" w:rsidRPr="00C674EC" w:rsidRDefault="00CB3495" w:rsidP="00833B68">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CB3495" w:rsidRDefault="00CB3495" w:rsidP="00CE2137">
      <w:pPr>
        <w:spacing w:line="360" w:lineRule="auto"/>
        <w:ind w:left="-360" w:right="42"/>
        <w:rPr>
          <w:b/>
          <w:bCs/>
          <w:sz w:val="22"/>
          <w:szCs w:val="22"/>
        </w:rPr>
      </w:pPr>
    </w:p>
    <w:p w:rsidR="00CB3495" w:rsidRDefault="00CB3495" w:rsidP="00CE2137">
      <w:pPr>
        <w:ind w:left="-360"/>
        <w:rPr>
          <w:rFonts w:ascii="Arial" w:hAnsi="Arial" w:cs="Arial"/>
          <w:sz w:val="16"/>
          <w:szCs w:val="16"/>
        </w:rPr>
      </w:pPr>
    </w:p>
    <w:p w:rsidR="00CB3495" w:rsidRDefault="00CB3495" w:rsidP="00A7254E">
      <w:pPr>
        <w:ind w:left="-360"/>
        <w:jc w:val="center"/>
        <w:rPr>
          <w:b/>
          <w:bCs/>
          <w:sz w:val="22"/>
          <w:szCs w:val="22"/>
        </w:rPr>
      </w:pPr>
      <w:r>
        <w:rPr>
          <w:b/>
          <w:bCs/>
          <w:sz w:val="22"/>
          <w:szCs w:val="22"/>
        </w:rPr>
        <w:t xml:space="preserve">Sanayi üretimi yavaşladı </w:t>
      </w: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r>
        <w:rPr>
          <w:sz w:val="22"/>
          <w:szCs w:val="22"/>
        </w:rPr>
        <w:t>Ağustos ayında Sanayi Üretim Endeksi (SÜE) Temmuz ayına göre yüzde 2,3 azaldı. Geçen yılın aynı ayına göre ise SÜE yüzde 1,5 azaldı. Ancak bu azalış bayram tatili günlerinden kaynaklandı. Takvim etkisinden arındırılmış endeksin geçen yılın aynı ayına göre yüzde 1,2 oranında arttığı görülüyor. Ancak bu artış bile büyümede oldukça belirgin bir yavaşlamaya işaret ediyor. İkinci çeyrekte stoklar yüksek oranda arttığı ve Kapasite Kullanım Oranı (KKO) uzun zamandır düşüş eğiliminde olduğu için aslında bu yavaşlama bekleniyordu. Eylül ayı rakamları açıklandığında bu eğilimin devam edip etmediğini göreceğiz. KKO’nun Eylül’de de azalmaya devam ettiğini not edelim (Şekil 1).</w:t>
      </w:r>
    </w:p>
    <w:p w:rsidR="00CB3495" w:rsidRDefault="00CB3495" w:rsidP="00A7254E">
      <w:pPr>
        <w:spacing w:line="360" w:lineRule="auto"/>
        <w:ind w:left="-360" w:right="42"/>
        <w:jc w:val="both"/>
        <w:rPr>
          <w:sz w:val="22"/>
          <w:szCs w:val="22"/>
        </w:rPr>
      </w:pPr>
      <w:r>
        <w:rPr>
          <w:sz w:val="22"/>
          <w:szCs w:val="22"/>
        </w:rPr>
        <w:lastRenderedPageBreak/>
        <w:t xml:space="preserve">Üçüncü çeyreğin ilk iki ayına dair veriler yatırımların azaldığını gösteriyor. Gerek yatırım malı imalatı, gerekse yatırım malı ithalatında çeyreklik bazda düşüşler var. Reel kesim güven endeksi de üçüncü çeyrekte bozulmaya devam etti. Tüketimde ise küçük bir artış bekliyoruz. Öte yandan net ihracatın katkısı Ağustos ayında ihracattaki artışla artmış olsa da altından arındırıldığında büyümeye katkı sınırlı kalmaya devam ediyor. Özellikle SÜE’deki yavaşlama ve altından arındırılmış ihracat rakamları dikkate alındığında Betam’ın üçüncü çeyreğe dair ilk tahminini revize ederek çeyrekten çeyreğe büyüme tahminini 0,6’dan 0,4’e düşürüyoruz. Buna paralel olarak geçen yılın aynı çeyreğine göre büyümeyi de yüzde 2,7’den 2,5’e revize ediyoruz. </w:t>
      </w: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r>
        <w:rPr>
          <w:sz w:val="22"/>
          <w:szCs w:val="22"/>
        </w:rPr>
        <w:t xml:space="preserve">Yakın zamanda açıklanan Orta Vadeli Program’a göre hükümet 2012 yılı büyümesini yüzde 3,2 olarak öngörüyor. Yılın ilk yarısında büyüme hızının yüzde 3,1 olduğunu hatırlarsak, üçüncü çeyrek büyümesi Betam tahminlerine yakın bir oranda gerçekleştiği durumda, bu oranın yakalanması için dördüncü çeyrekte iç talepte ciddi bir canlanma gerekiyor. Cari açık için yıl sonunda 7,3 oranındaki tahminin ise gerçekçi olduğu kanısındayız.   </w:t>
      </w: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r>
        <w:rPr>
          <w:sz w:val="22"/>
          <w:szCs w:val="22"/>
        </w:rPr>
        <w:t xml:space="preserve">Düşük büyüme Merkez Bankası üzerindeki  baskıyı giderek artırıyor. Bütçe dengesinde düşük büyümeden kaynaklanan bozulmanın dolaylı vergileri artırmak suretiyle giderilmeye çalışılması </w:t>
      </w:r>
      <w:r w:rsidRPr="00F5769D">
        <w:rPr>
          <w:sz w:val="22"/>
          <w:szCs w:val="22"/>
        </w:rPr>
        <w:t>Merkez Bankası</w:t>
      </w:r>
      <w:r>
        <w:rPr>
          <w:sz w:val="22"/>
          <w:szCs w:val="22"/>
        </w:rPr>
        <w:t xml:space="preserve">’nın fiyat istikrarı hedefini yerine getirmesini zorlaştırıyor. Türkiye 2001 yılındaki reformlarla her ne kadar Merkez Bankası’nı fiyat istikrarından sorumlu bağımsız bir kurum haline getirmeyi başarmış olsa da, mali politikanın </w:t>
      </w:r>
      <w:r>
        <w:rPr>
          <w:sz w:val="22"/>
          <w:szCs w:val="22"/>
        </w:rPr>
        <w:lastRenderedPageBreak/>
        <w:t>enflasyon üzerindeki etkisi hala çok güçlü. Vergi reformu ile yapısal bir değişikliğe gidilmediği sürece “düşük büyüme – bütçe dengesinde bozulma –  dolaylı vergilerde artış – enflasyon artışı – sıkı para politikası – düşük büyüme” döngüsü kırılamaz. Böyle bir ortamda Merkez Bankası’nın büyüme uğruna fiyat istikrarından ödün vermesinin bedeli ise çok yüksek olur. Türkiye benzer bedelleri geçmiş kriz dönemlerinde ödemiş bir ülke olarak aynı hataları tekrarlamamalıdır.</w:t>
      </w:r>
    </w:p>
    <w:p w:rsidR="00CB3495" w:rsidRDefault="00CB3495" w:rsidP="00A7254E">
      <w:pPr>
        <w:spacing w:line="360" w:lineRule="auto"/>
        <w:ind w:right="42"/>
        <w:rPr>
          <w:b/>
          <w:bCs/>
          <w:sz w:val="22"/>
          <w:szCs w:val="22"/>
        </w:rPr>
      </w:pPr>
    </w:p>
    <w:p w:rsidR="00CB3495" w:rsidRDefault="00CB3495" w:rsidP="00522063">
      <w:pPr>
        <w:spacing w:line="360" w:lineRule="auto"/>
        <w:ind w:right="42"/>
        <w:jc w:val="center"/>
        <w:rPr>
          <w:b/>
          <w:bCs/>
          <w:sz w:val="22"/>
          <w:szCs w:val="22"/>
        </w:rPr>
      </w:pPr>
      <w:r>
        <w:rPr>
          <w:b/>
          <w:bCs/>
          <w:sz w:val="22"/>
          <w:szCs w:val="22"/>
        </w:rPr>
        <w:t>Tüketimde belirsizlik sürüyor</w:t>
      </w:r>
    </w:p>
    <w:p w:rsidR="00CB3495" w:rsidRDefault="00CB3495" w:rsidP="00AF0A2F">
      <w:pPr>
        <w:spacing w:line="360" w:lineRule="auto"/>
        <w:ind w:left="-360" w:right="42"/>
        <w:jc w:val="center"/>
        <w:rPr>
          <w:b/>
          <w:bCs/>
          <w:sz w:val="22"/>
          <w:szCs w:val="22"/>
        </w:rPr>
      </w:pPr>
    </w:p>
    <w:p w:rsidR="00CB3495" w:rsidRPr="00F37B3A" w:rsidRDefault="00CB3495" w:rsidP="00F37B3A">
      <w:pPr>
        <w:spacing w:line="360" w:lineRule="auto"/>
        <w:ind w:left="-360" w:right="42"/>
        <w:jc w:val="both"/>
        <w:rPr>
          <w:sz w:val="22"/>
          <w:szCs w:val="22"/>
        </w:rPr>
      </w:pPr>
      <w:r>
        <w:rPr>
          <w:sz w:val="22"/>
          <w:szCs w:val="22"/>
        </w:rPr>
        <w:t>Özel tüketim harcamalarını tahmin etmek için kullandığımız ekonomik göstergeler ekonomide belirsizliğin devam etmesine paralel olarak dalgalı bir seyir izliyor. Geçen ay genel olarak ekonomik göstergeler pozitifti, bu ay yine negatife döndü. Tüketim malı ithalatı Ağustos ayında bir önceki aya göre yüzde 6,9 düştü. Yine aynı dönemde, dayanıksız ve dayanıklı tüketim malı imalatı da sırasıyla yüzde 1,8 ve 1,5 azaldı. Son olarak tüketici güven endeksi de Ağustos ayında yüzde 1,4 düşüş gösterdi. Bu ay ki kötü gelen ekonomik göstergelere karşın, 3. çeyrekte 2. çeyreğe göre özel tüketim harcamalarında bir artış bekliyoruz.</w:t>
      </w:r>
    </w:p>
    <w:p w:rsidR="00CB3495" w:rsidRDefault="00CB3495" w:rsidP="00466C2F">
      <w:pPr>
        <w:spacing w:line="360" w:lineRule="auto"/>
        <w:ind w:right="42"/>
        <w:jc w:val="both"/>
        <w:rPr>
          <w:sz w:val="22"/>
          <w:szCs w:val="22"/>
        </w:rPr>
      </w:pPr>
      <w:r>
        <w:rPr>
          <w:sz w:val="22"/>
          <w:szCs w:val="22"/>
        </w:rPr>
        <w:t xml:space="preserve">     </w:t>
      </w:r>
    </w:p>
    <w:p w:rsidR="00CB3495" w:rsidRDefault="00CB3495" w:rsidP="00BA025C">
      <w:pPr>
        <w:spacing w:line="360" w:lineRule="auto"/>
        <w:ind w:left="-360" w:right="42"/>
        <w:jc w:val="center"/>
        <w:rPr>
          <w:b/>
          <w:bCs/>
          <w:sz w:val="22"/>
          <w:szCs w:val="22"/>
        </w:rPr>
      </w:pPr>
      <w:r>
        <w:rPr>
          <w:b/>
          <w:bCs/>
          <w:sz w:val="22"/>
          <w:szCs w:val="22"/>
        </w:rPr>
        <w:t>Yatırım harcamaları negatif yönlü</w:t>
      </w:r>
    </w:p>
    <w:p w:rsidR="00CB3495" w:rsidRDefault="00CB3495" w:rsidP="00C466DC">
      <w:pPr>
        <w:spacing w:line="360" w:lineRule="auto"/>
        <w:ind w:left="-360" w:right="42"/>
        <w:jc w:val="center"/>
        <w:rPr>
          <w:b/>
          <w:bCs/>
          <w:sz w:val="22"/>
          <w:szCs w:val="22"/>
        </w:rPr>
      </w:pPr>
    </w:p>
    <w:p w:rsidR="00CB3495" w:rsidRPr="00466C2F" w:rsidRDefault="00CB3495" w:rsidP="000E631E">
      <w:pPr>
        <w:spacing w:line="360" w:lineRule="auto"/>
        <w:ind w:left="-360" w:right="42"/>
        <w:jc w:val="both"/>
        <w:rPr>
          <w:sz w:val="22"/>
          <w:szCs w:val="22"/>
        </w:rPr>
      </w:pPr>
      <w:r>
        <w:rPr>
          <w:sz w:val="22"/>
          <w:szCs w:val="22"/>
        </w:rPr>
        <w:t xml:space="preserve">Reel kesim güven endeksi Nisan-Ağustos arasında 5 ay kesintisiz düştükten sonra ilk defa Eylül ayında biraz artış gösterdi. </w:t>
      </w:r>
      <w:r w:rsidRPr="00DD0735">
        <w:rPr>
          <w:sz w:val="22"/>
          <w:szCs w:val="22"/>
        </w:rPr>
        <w:t>Yatırım malı ithalatı Temmuz ve Ağustos</w:t>
      </w:r>
      <w:r>
        <w:rPr>
          <w:sz w:val="22"/>
          <w:szCs w:val="22"/>
        </w:rPr>
        <w:t xml:space="preserve"> ayında </w:t>
      </w:r>
      <w:r w:rsidR="005C2A01">
        <w:rPr>
          <w:sz w:val="22"/>
          <w:szCs w:val="22"/>
        </w:rPr>
        <w:t xml:space="preserve">bir toparlanma </w:t>
      </w:r>
      <w:r w:rsidR="00DD0735">
        <w:rPr>
          <w:sz w:val="22"/>
          <w:szCs w:val="22"/>
        </w:rPr>
        <w:t>gösterse de</w:t>
      </w:r>
      <w:r w:rsidR="005C2A01">
        <w:rPr>
          <w:sz w:val="22"/>
          <w:szCs w:val="22"/>
        </w:rPr>
        <w:t xml:space="preserve"> çeyreklik bazda yüzde 8 oran</w:t>
      </w:r>
      <w:r w:rsidR="00DD0735">
        <w:rPr>
          <w:sz w:val="22"/>
          <w:szCs w:val="22"/>
        </w:rPr>
        <w:t>ın</w:t>
      </w:r>
      <w:r w:rsidR="005C2A01">
        <w:rPr>
          <w:sz w:val="22"/>
          <w:szCs w:val="22"/>
        </w:rPr>
        <w:t>da azalmış durumda</w:t>
      </w:r>
      <w:r>
        <w:rPr>
          <w:sz w:val="22"/>
          <w:szCs w:val="22"/>
        </w:rPr>
        <w:t xml:space="preserve">. </w:t>
      </w:r>
      <w:r w:rsidR="005C2A01">
        <w:rPr>
          <w:sz w:val="22"/>
          <w:szCs w:val="22"/>
        </w:rPr>
        <w:t>Yatırım</w:t>
      </w:r>
      <w:r w:rsidR="003C6B2C">
        <w:rPr>
          <w:sz w:val="22"/>
          <w:szCs w:val="22"/>
        </w:rPr>
        <w:t xml:space="preserve"> harcamalarının</w:t>
      </w:r>
      <w:r>
        <w:rPr>
          <w:sz w:val="22"/>
          <w:szCs w:val="22"/>
        </w:rPr>
        <w:t xml:space="preserve"> tahmin</w:t>
      </w:r>
      <w:r w:rsidR="005C2A01">
        <w:rPr>
          <w:sz w:val="22"/>
          <w:szCs w:val="22"/>
        </w:rPr>
        <w:t>inde</w:t>
      </w:r>
      <w:r>
        <w:rPr>
          <w:sz w:val="22"/>
          <w:szCs w:val="22"/>
        </w:rPr>
        <w:t xml:space="preserve"> kullandığımız diğer ekonomik </w:t>
      </w:r>
      <w:r>
        <w:rPr>
          <w:sz w:val="22"/>
          <w:szCs w:val="22"/>
        </w:rPr>
        <w:lastRenderedPageBreak/>
        <w:t>göstergeler</w:t>
      </w:r>
      <w:r w:rsidR="005C2A01">
        <w:rPr>
          <w:sz w:val="22"/>
          <w:szCs w:val="22"/>
        </w:rPr>
        <w:t xml:space="preserve"> de</w:t>
      </w:r>
      <w:r>
        <w:rPr>
          <w:sz w:val="22"/>
          <w:szCs w:val="22"/>
        </w:rPr>
        <w:t xml:space="preserve"> genel olarak negatif yönlü. Binek otomobil üretimi Ağustos ayında yüzde 8 artmasına karşılık Eylül ayında yüzde 0,2 azaldı. Kapasite kullanım oranı hem Ağustos hem Eylül ayında sırasıyla yüzde 0,2 puan ve yüzde 0,1 puan düştü. Sanayi üretim endeksi de Ağustos ayında büyük bir düşüş gösterdi ve yüzde 2,3 azaldı. 3. çeyrekte genel olarak özel yatırım harcamalarının geçen çeyreğe göre azalmasını bekliyoruz.  </w:t>
      </w:r>
    </w:p>
    <w:p w:rsidR="00CB3495" w:rsidRPr="00B20A56" w:rsidRDefault="00CB3495" w:rsidP="00B20A56">
      <w:pPr>
        <w:spacing w:line="360" w:lineRule="auto"/>
        <w:ind w:left="-360" w:right="42"/>
        <w:jc w:val="both"/>
        <w:rPr>
          <w:sz w:val="22"/>
          <w:szCs w:val="22"/>
        </w:rPr>
      </w:pPr>
    </w:p>
    <w:p w:rsidR="00CB3495" w:rsidRDefault="00CB3495" w:rsidP="00526CC9">
      <w:pPr>
        <w:spacing w:line="360" w:lineRule="auto"/>
        <w:ind w:left="-360" w:right="42"/>
        <w:jc w:val="center"/>
        <w:rPr>
          <w:b/>
          <w:bCs/>
          <w:sz w:val="22"/>
          <w:szCs w:val="22"/>
        </w:rPr>
      </w:pPr>
      <w:r>
        <w:rPr>
          <w:b/>
          <w:bCs/>
          <w:sz w:val="22"/>
          <w:szCs w:val="22"/>
        </w:rPr>
        <w:t>Net ihracatın büyümeye katkısı azalıyor</w:t>
      </w:r>
    </w:p>
    <w:p w:rsidR="00CB3495" w:rsidRDefault="00CB3495" w:rsidP="00526CC9">
      <w:pPr>
        <w:spacing w:line="360" w:lineRule="auto"/>
        <w:ind w:left="-360" w:right="42"/>
        <w:jc w:val="center"/>
        <w:rPr>
          <w:b/>
          <w:bCs/>
          <w:sz w:val="22"/>
          <w:szCs w:val="22"/>
        </w:rPr>
      </w:pPr>
    </w:p>
    <w:p w:rsidR="00CB3495" w:rsidRPr="00EE22FB" w:rsidRDefault="00CB3495" w:rsidP="00833B68">
      <w:pPr>
        <w:spacing w:line="360" w:lineRule="auto"/>
        <w:ind w:left="-360" w:right="42"/>
        <w:jc w:val="both"/>
        <w:rPr>
          <w:sz w:val="22"/>
          <w:szCs w:val="22"/>
        </w:rPr>
      </w:pPr>
      <w:r>
        <w:rPr>
          <w:sz w:val="22"/>
          <w:szCs w:val="22"/>
        </w:rPr>
        <w:t xml:space="preserve">Şekil 2 TÜİK’in açıkladığı mevsim ve takvim etkisinden arındırılmış ihracat ve ithalat miktar endekslerini gösteriyor. Ağustos 2012’de bir önceki aya göre ihracat miktar endeksi yüzde 8,7 artarken, ithalat miktar endeksi ise </w:t>
      </w:r>
      <w:r w:rsidRPr="00DD0735">
        <w:rPr>
          <w:sz w:val="22"/>
          <w:szCs w:val="22"/>
        </w:rPr>
        <w:t>yüzde 2,0</w:t>
      </w:r>
      <w:r>
        <w:rPr>
          <w:sz w:val="22"/>
          <w:szCs w:val="22"/>
        </w:rPr>
        <w:t xml:space="preserve"> azaldı. </w:t>
      </w:r>
      <w:r w:rsidR="00DD0735">
        <w:rPr>
          <w:sz w:val="22"/>
          <w:szCs w:val="22"/>
        </w:rPr>
        <w:t>Altın hariç ihracat artışı ise Betam hesaplamalarına göre</w:t>
      </w:r>
      <w:r>
        <w:rPr>
          <w:sz w:val="22"/>
          <w:szCs w:val="22"/>
        </w:rPr>
        <w:t xml:space="preserve"> yüzde 4,6’da  </w:t>
      </w:r>
      <w:r w:rsidR="00DD0735">
        <w:rPr>
          <w:sz w:val="22"/>
          <w:szCs w:val="22"/>
        </w:rPr>
        <w:t>kalıyor</w:t>
      </w:r>
      <w:r>
        <w:rPr>
          <w:sz w:val="22"/>
          <w:szCs w:val="22"/>
        </w:rPr>
        <w:t>.</w:t>
      </w:r>
      <w:r w:rsidR="00DD0735">
        <w:rPr>
          <w:rStyle w:val="DipnotBavurusu"/>
          <w:sz w:val="22"/>
          <w:szCs w:val="22"/>
        </w:rPr>
        <w:footnoteReference w:id="2"/>
      </w:r>
      <w:r w:rsidR="00DD0735">
        <w:rPr>
          <w:sz w:val="22"/>
          <w:szCs w:val="22"/>
        </w:rPr>
        <w:t xml:space="preserve"> Tablo 2’de miktar endekslerine göre ihracat</w:t>
      </w:r>
      <w:r w:rsidR="00D44267">
        <w:rPr>
          <w:sz w:val="22"/>
          <w:szCs w:val="22"/>
        </w:rPr>
        <w:t>ta</w:t>
      </w:r>
      <w:r w:rsidR="00DD0735">
        <w:rPr>
          <w:sz w:val="22"/>
          <w:szCs w:val="22"/>
        </w:rPr>
        <w:t xml:space="preserve"> </w:t>
      </w:r>
      <w:r w:rsidR="00D44267">
        <w:rPr>
          <w:sz w:val="22"/>
          <w:szCs w:val="22"/>
        </w:rPr>
        <w:t>2</w:t>
      </w:r>
      <w:r>
        <w:rPr>
          <w:sz w:val="22"/>
          <w:szCs w:val="22"/>
        </w:rPr>
        <w:t>. çeyre</w:t>
      </w:r>
      <w:r w:rsidR="00D44267">
        <w:rPr>
          <w:sz w:val="22"/>
          <w:szCs w:val="22"/>
        </w:rPr>
        <w:t>ğe kıyasla</w:t>
      </w:r>
      <w:r>
        <w:rPr>
          <w:sz w:val="22"/>
          <w:szCs w:val="22"/>
        </w:rPr>
        <w:t xml:space="preserve"> </w:t>
      </w:r>
      <w:r w:rsidR="00D44267">
        <w:rPr>
          <w:sz w:val="22"/>
          <w:szCs w:val="22"/>
        </w:rPr>
        <w:t xml:space="preserve">3. çeyrekte yarı yarıya bir </w:t>
      </w:r>
      <w:r w:rsidR="00DD0735">
        <w:rPr>
          <w:sz w:val="22"/>
          <w:szCs w:val="22"/>
        </w:rPr>
        <w:t>artış</w:t>
      </w:r>
      <w:r w:rsidR="00D44267">
        <w:rPr>
          <w:sz w:val="22"/>
          <w:szCs w:val="22"/>
        </w:rPr>
        <w:t>, ithalatta ise küçük bir gerileme var</w:t>
      </w:r>
      <w:r w:rsidR="00DD0735">
        <w:rPr>
          <w:sz w:val="22"/>
          <w:szCs w:val="22"/>
        </w:rPr>
        <w:t>.</w:t>
      </w:r>
      <w:r>
        <w:rPr>
          <w:sz w:val="22"/>
          <w:szCs w:val="22"/>
        </w:rPr>
        <w:t xml:space="preserve"> </w:t>
      </w:r>
      <w:r w:rsidR="00DD0735">
        <w:rPr>
          <w:sz w:val="22"/>
          <w:szCs w:val="22"/>
        </w:rPr>
        <w:t xml:space="preserve">3. çeyrekte net ihracatın </w:t>
      </w:r>
      <w:r w:rsidRPr="00DD0735">
        <w:rPr>
          <w:sz w:val="22"/>
          <w:szCs w:val="22"/>
        </w:rPr>
        <w:t>büyümeye katkısı</w:t>
      </w:r>
      <w:r w:rsidR="00DD0735" w:rsidRPr="00DD0735">
        <w:rPr>
          <w:sz w:val="22"/>
          <w:szCs w:val="22"/>
        </w:rPr>
        <w:t>nın sınırlı kalacağını tahmin ediyoruz.</w:t>
      </w:r>
      <w:r>
        <w:rPr>
          <w:sz w:val="22"/>
          <w:szCs w:val="22"/>
        </w:rPr>
        <w:t xml:space="preserve">   </w:t>
      </w:r>
    </w:p>
    <w:p w:rsidR="00CB3495" w:rsidRDefault="00CB3495" w:rsidP="00F437F0">
      <w:pPr>
        <w:spacing w:line="360" w:lineRule="auto"/>
        <w:ind w:right="42"/>
        <w:jc w:val="both"/>
        <w:rPr>
          <w:sz w:val="22"/>
          <w:szCs w:val="22"/>
        </w:rPr>
      </w:pPr>
    </w:p>
    <w:p w:rsidR="00CB3495" w:rsidRDefault="00CB3495" w:rsidP="00A7254E">
      <w:pPr>
        <w:spacing w:line="360" w:lineRule="auto"/>
        <w:ind w:right="42"/>
        <w:jc w:val="center"/>
        <w:rPr>
          <w:b/>
          <w:bCs/>
          <w:sz w:val="22"/>
          <w:szCs w:val="22"/>
        </w:rPr>
      </w:pPr>
      <w:r>
        <w:rPr>
          <w:b/>
          <w:bCs/>
          <w:sz w:val="22"/>
          <w:szCs w:val="22"/>
        </w:rPr>
        <w:t>Cari a</w:t>
      </w:r>
      <w:r w:rsidRPr="003A3575">
        <w:rPr>
          <w:b/>
          <w:bCs/>
          <w:sz w:val="22"/>
          <w:szCs w:val="22"/>
        </w:rPr>
        <w:t>çık</w:t>
      </w:r>
      <w:r>
        <w:rPr>
          <w:b/>
          <w:bCs/>
          <w:sz w:val="22"/>
          <w:szCs w:val="22"/>
        </w:rPr>
        <w:t xml:space="preserve"> yüzde 7’ye yaklaştı</w:t>
      </w:r>
    </w:p>
    <w:p w:rsidR="00CB3495" w:rsidRPr="003A3575" w:rsidRDefault="00CB3495" w:rsidP="00A7254E">
      <w:pPr>
        <w:spacing w:line="360" w:lineRule="auto"/>
        <w:ind w:right="42"/>
        <w:jc w:val="center"/>
        <w:rPr>
          <w:b/>
          <w:bCs/>
          <w:sz w:val="22"/>
          <w:szCs w:val="22"/>
        </w:rPr>
      </w:pPr>
    </w:p>
    <w:p w:rsidR="00CB3495" w:rsidRDefault="00CB3495" w:rsidP="00A7254E">
      <w:pPr>
        <w:spacing w:line="360" w:lineRule="auto"/>
        <w:ind w:left="-360" w:right="42"/>
        <w:jc w:val="both"/>
        <w:rPr>
          <w:sz w:val="22"/>
          <w:szCs w:val="22"/>
        </w:rPr>
      </w:pPr>
      <w:r>
        <w:rPr>
          <w:sz w:val="22"/>
          <w:szCs w:val="22"/>
        </w:rPr>
        <w:t xml:space="preserve">Ağustos ayında artan ihracat ve turizm gelirleri ile iyice gerileyen cari açık 1,2 milyar dolar düzeyinde gerçekleşti.  12 aylık toplamda ise cari açık Ağustos sonunda 59 milyar dolara geriledi. 2011 sonunda cari açık 77,1 milyar dolar seviyesindeydi. 2011 sonunda yüzde 10’a ulaşan cari açık oranının üçüncü çeyrek sonunda yüzde </w:t>
      </w:r>
      <w:r>
        <w:rPr>
          <w:sz w:val="22"/>
          <w:szCs w:val="22"/>
        </w:rPr>
        <w:lastRenderedPageBreak/>
        <w:t xml:space="preserve">7,2’ye düşmesini bekliyoruz. Ağustos ayında cari açıktaki düşüşte altın net altın ihracatının 1,4 milyar dolara yakın gerçekleşmesi büyük rol oynadı. Önceki aylarda bu miktar sıfıra yakın düzeyde dalgalanma gösteriyordu. 4. çeyrekte baz etkisinin ortadan kalkmasıyla cari açıkta yatay seyir bekliyoruz. </w:t>
      </w: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A7254E">
      <w:pPr>
        <w:spacing w:line="360" w:lineRule="auto"/>
        <w:ind w:left="-360" w:right="42"/>
        <w:jc w:val="both"/>
        <w:rPr>
          <w:sz w:val="22"/>
          <w:szCs w:val="22"/>
        </w:rPr>
      </w:pPr>
    </w:p>
    <w:p w:rsidR="00CB3495" w:rsidRDefault="00CB3495" w:rsidP="00DA2477">
      <w:pPr>
        <w:spacing w:line="360" w:lineRule="auto"/>
        <w:ind w:right="42"/>
        <w:jc w:val="both"/>
        <w:rPr>
          <w:sz w:val="22"/>
          <w:szCs w:val="22"/>
        </w:rPr>
        <w:sectPr w:rsidR="00CB3495" w:rsidSect="000F0C2B">
          <w:type w:val="continuous"/>
          <w:pgSz w:w="11906" w:h="16838"/>
          <w:pgMar w:top="1417" w:right="1417" w:bottom="1417" w:left="1417" w:header="708" w:footer="708" w:gutter="0"/>
          <w:cols w:num="2" w:space="708" w:equalWidth="0">
            <w:col w:w="4182" w:space="708"/>
            <w:col w:w="4182"/>
          </w:cols>
          <w:docGrid w:linePitch="360"/>
        </w:sectPr>
      </w:pPr>
    </w:p>
    <w:p w:rsidR="00CB3495" w:rsidRDefault="00CB3495" w:rsidP="008A0F64">
      <w:pPr>
        <w:spacing w:line="360" w:lineRule="auto"/>
        <w:ind w:right="42"/>
        <w:jc w:val="both"/>
        <w:rPr>
          <w:b/>
          <w:bCs/>
          <w:sz w:val="22"/>
          <w:szCs w:val="22"/>
        </w:rPr>
      </w:pPr>
    </w:p>
    <w:p w:rsidR="00CB3495" w:rsidRPr="00523C58" w:rsidRDefault="00CB3495" w:rsidP="008A0F64">
      <w:pPr>
        <w:spacing w:line="360" w:lineRule="auto"/>
        <w:ind w:right="42"/>
        <w:jc w:val="both"/>
        <w:rPr>
          <w:sz w:val="22"/>
          <w:szCs w:val="22"/>
        </w:rPr>
      </w:pPr>
      <w:r w:rsidRPr="008C6E50">
        <w:rPr>
          <w:b/>
          <w:bCs/>
          <w:sz w:val="22"/>
          <w:szCs w:val="22"/>
        </w:rPr>
        <w:t>Tablo</w:t>
      </w:r>
      <w:r>
        <w:rPr>
          <w:b/>
          <w:bCs/>
          <w:sz w:val="22"/>
          <w:szCs w:val="22"/>
        </w:rPr>
        <w:t xml:space="preserve"> 2</w:t>
      </w:r>
      <w:r w:rsidRPr="008C6E50">
        <w:rPr>
          <w:b/>
          <w:bCs/>
          <w:sz w:val="22"/>
          <w:szCs w:val="22"/>
        </w:rPr>
        <w:t>. Ekonomik göstergelerin aydan aya ve çeyrekten çeyreğe değişimleri (Reel ve MEA)</w:t>
      </w:r>
    </w:p>
    <w:p w:rsidR="00CB3495" w:rsidRDefault="00CB3495" w:rsidP="0072768C">
      <w:pPr>
        <w:spacing w:line="360" w:lineRule="auto"/>
        <w:ind w:left="-360" w:right="42"/>
        <w:jc w:val="both"/>
        <w:rPr>
          <w:sz w:val="22"/>
          <w:szCs w:val="22"/>
        </w:rPr>
        <w:sectPr w:rsidR="00CB3495" w:rsidSect="008651A8">
          <w:type w:val="continuous"/>
          <w:pgSz w:w="11906" w:h="16838"/>
          <w:pgMar w:top="1417" w:right="1417" w:bottom="1417" w:left="1417" w:header="708" w:footer="708" w:gutter="0"/>
          <w:cols w:space="708"/>
          <w:docGrid w:linePitch="360"/>
        </w:sectPr>
      </w:pPr>
    </w:p>
    <w:tbl>
      <w:tblPr>
        <w:tblW w:w="10109"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0" w:type="dxa"/>
        </w:tblCellMar>
        <w:tblLook w:val="01E0"/>
      </w:tblPr>
      <w:tblGrid>
        <w:gridCol w:w="3245"/>
        <w:gridCol w:w="977"/>
        <w:gridCol w:w="978"/>
        <w:gridCol w:w="978"/>
        <w:gridCol w:w="978"/>
        <w:gridCol w:w="978"/>
        <w:gridCol w:w="987"/>
        <w:gridCol w:w="988"/>
      </w:tblGrid>
      <w:tr w:rsidR="00CB3495" w:rsidRPr="00A759A9" w:rsidTr="00DA2477">
        <w:tc>
          <w:tcPr>
            <w:tcW w:w="3245" w:type="dxa"/>
            <w:vAlign w:val="bottom"/>
          </w:tcPr>
          <w:p w:rsidR="00CB3495" w:rsidRPr="00A759A9" w:rsidRDefault="00CB3495" w:rsidP="00A759A9">
            <w:pPr>
              <w:spacing w:line="288" w:lineRule="auto"/>
              <w:ind w:right="77"/>
              <w:jc w:val="center"/>
            </w:pPr>
            <w:r w:rsidRPr="00A759A9">
              <w:rPr>
                <w:b/>
                <w:bCs/>
                <w:sz w:val="22"/>
                <w:szCs w:val="22"/>
              </w:rPr>
              <w:lastRenderedPageBreak/>
              <w:t>Ekonomik Göstergeler</w:t>
            </w:r>
          </w:p>
        </w:tc>
        <w:tc>
          <w:tcPr>
            <w:tcW w:w="977" w:type="dxa"/>
            <w:vAlign w:val="center"/>
          </w:tcPr>
          <w:p w:rsidR="00CB3495" w:rsidRPr="00A759A9" w:rsidRDefault="00CB3495" w:rsidP="00901532">
            <w:pPr>
              <w:spacing w:line="288" w:lineRule="auto"/>
              <w:ind w:right="77"/>
              <w:jc w:val="center"/>
              <w:rPr>
                <w:b/>
                <w:bCs/>
              </w:rPr>
            </w:pPr>
            <w:r>
              <w:rPr>
                <w:b/>
                <w:bCs/>
                <w:sz w:val="22"/>
                <w:szCs w:val="22"/>
              </w:rPr>
              <w:t>Mayıs</w:t>
            </w:r>
          </w:p>
        </w:tc>
        <w:tc>
          <w:tcPr>
            <w:tcW w:w="978" w:type="dxa"/>
            <w:vAlign w:val="center"/>
          </w:tcPr>
          <w:p w:rsidR="00CB3495" w:rsidRPr="00A759A9" w:rsidRDefault="00CB3495" w:rsidP="00901532">
            <w:pPr>
              <w:spacing w:line="288" w:lineRule="auto"/>
              <w:ind w:right="77"/>
              <w:jc w:val="center"/>
              <w:rPr>
                <w:b/>
                <w:bCs/>
              </w:rPr>
            </w:pPr>
            <w:r>
              <w:rPr>
                <w:b/>
                <w:bCs/>
                <w:sz w:val="22"/>
                <w:szCs w:val="22"/>
              </w:rPr>
              <w:t>Haziran</w:t>
            </w:r>
          </w:p>
        </w:tc>
        <w:tc>
          <w:tcPr>
            <w:tcW w:w="978" w:type="dxa"/>
            <w:vAlign w:val="center"/>
          </w:tcPr>
          <w:p w:rsidR="00CB3495" w:rsidRPr="00A759A9" w:rsidRDefault="00CB3495" w:rsidP="00901532">
            <w:pPr>
              <w:spacing w:line="288" w:lineRule="auto"/>
              <w:ind w:right="77"/>
              <w:jc w:val="center"/>
              <w:rPr>
                <w:b/>
                <w:bCs/>
              </w:rPr>
            </w:pPr>
            <w:r>
              <w:rPr>
                <w:b/>
                <w:bCs/>
                <w:sz w:val="22"/>
                <w:szCs w:val="22"/>
              </w:rPr>
              <w:t>Temmuz</w:t>
            </w:r>
          </w:p>
        </w:tc>
        <w:tc>
          <w:tcPr>
            <w:tcW w:w="978" w:type="dxa"/>
            <w:vAlign w:val="center"/>
          </w:tcPr>
          <w:p w:rsidR="00CB3495" w:rsidRPr="00A759A9" w:rsidRDefault="00CB3495" w:rsidP="00901532">
            <w:pPr>
              <w:spacing w:line="288" w:lineRule="auto"/>
              <w:ind w:right="77"/>
              <w:jc w:val="center"/>
              <w:rPr>
                <w:b/>
                <w:bCs/>
              </w:rPr>
            </w:pPr>
            <w:r>
              <w:rPr>
                <w:b/>
                <w:bCs/>
                <w:sz w:val="22"/>
                <w:szCs w:val="22"/>
              </w:rPr>
              <w:t>Ağustos</w:t>
            </w:r>
          </w:p>
        </w:tc>
        <w:tc>
          <w:tcPr>
            <w:tcW w:w="978" w:type="dxa"/>
            <w:tcBorders>
              <w:right w:val="double" w:sz="4" w:space="0" w:color="auto"/>
            </w:tcBorders>
            <w:vAlign w:val="center"/>
          </w:tcPr>
          <w:p w:rsidR="00CB3495" w:rsidRPr="00A759A9" w:rsidRDefault="00CB3495" w:rsidP="00A759A9">
            <w:pPr>
              <w:spacing w:line="288" w:lineRule="auto"/>
              <w:ind w:right="77"/>
              <w:jc w:val="center"/>
              <w:rPr>
                <w:b/>
                <w:bCs/>
              </w:rPr>
            </w:pPr>
            <w:r>
              <w:rPr>
                <w:b/>
                <w:bCs/>
              </w:rPr>
              <w:t>Eylül</w:t>
            </w:r>
          </w:p>
        </w:tc>
        <w:tc>
          <w:tcPr>
            <w:tcW w:w="987" w:type="dxa"/>
            <w:tcBorders>
              <w:left w:val="double" w:sz="4" w:space="0" w:color="auto"/>
            </w:tcBorders>
            <w:vAlign w:val="center"/>
          </w:tcPr>
          <w:p w:rsidR="00CB3495" w:rsidRPr="00A759A9" w:rsidRDefault="00CB3495" w:rsidP="00A759A9">
            <w:pPr>
              <w:spacing w:line="288" w:lineRule="auto"/>
              <w:ind w:right="77"/>
              <w:jc w:val="center"/>
              <w:rPr>
                <w:b/>
                <w:bCs/>
              </w:rPr>
            </w:pPr>
            <w:r>
              <w:rPr>
                <w:b/>
                <w:bCs/>
                <w:sz w:val="22"/>
                <w:szCs w:val="22"/>
              </w:rPr>
              <w:t>2012 2</w:t>
            </w:r>
            <w:r w:rsidRPr="00A759A9">
              <w:rPr>
                <w:b/>
                <w:bCs/>
                <w:sz w:val="22"/>
                <w:szCs w:val="22"/>
              </w:rPr>
              <w:t>. Çeyrek</w:t>
            </w:r>
          </w:p>
        </w:tc>
        <w:tc>
          <w:tcPr>
            <w:tcW w:w="988" w:type="dxa"/>
            <w:vAlign w:val="center"/>
          </w:tcPr>
          <w:p w:rsidR="00CB3495" w:rsidRPr="00A759A9" w:rsidRDefault="00CB3495" w:rsidP="00A759A9">
            <w:pPr>
              <w:spacing w:line="288" w:lineRule="auto"/>
              <w:ind w:right="77"/>
              <w:jc w:val="center"/>
              <w:rPr>
                <w:b/>
                <w:bCs/>
              </w:rPr>
            </w:pPr>
            <w:r>
              <w:rPr>
                <w:b/>
                <w:bCs/>
                <w:sz w:val="22"/>
                <w:szCs w:val="22"/>
              </w:rPr>
              <w:t>2012 3</w:t>
            </w:r>
            <w:r w:rsidRPr="00A759A9">
              <w:rPr>
                <w:b/>
                <w:bCs/>
                <w:sz w:val="22"/>
                <w:szCs w:val="22"/>
              </w:rPr>
              <w:t>. Çeyrek</w:t>
            </w:r>
          </w:p>
        </w:tc>
      </w:tr>
      <w:tr w:rsidR="00CB3495" w:rsidRPr="00A759A9" w:rsidTr="00DA2477">
        <w:tc>
          <w:tcPr>
            <w:tcW w:w="3245" w:type="dxa"/>
            <w:tcBorders>
              <w:bottom w:val="nil"/>
            </w:tcBorders>
            <w:vAlign w:val="center"/>
          </w:tcPr>
          <w:p w:rsidR="00CB3495" w:rsidRPr="00A759A9" w:rsidRDefault="00CB3495" w:rsidP="00A759A9">
            <w:pPr>
              <w:spacing w:line="288" w:lineRule="auto"/>
              <w:ind w:right="77"/>
              <w:jc w:val="center"/>
              <w:rPr>
                <w:b/>
                <w:bCs/>
              </w:rPr>
            </w:pPr>
            <w:bookmarkStart w:id="0" w:name="_Hlk311108450"/>
            <w:r w:rsidRPr="00A759A9">
              <w:rPr>
                <w:b/>
                <w:bCs/>
                <w:sz w:val="22"/>
                <w:szCs w:val="22"/>
              </w:rPr>
              <w:t>İhracat</w:t>
            </w:r>
          </w:p>
        </w:tc>
        <w:tc>
          <w:tcPr>
            <w:tcW w:w="977" w:type="dxa"/>
            <w:tcBorders>
              <w:bottom w:val="nil"/>
            </w:tcBorders>
            <w:vAlign w:val="center"/>
          </w:tcPr>
          <w:p w:rsidR="00CB3495" w:rsidRPr="00A759A9" w:rsidRDefault="00CB3495" w:rsidP="00936426">
            <w:pPr>
              <w:spacing w:line="288" w:lineRule="auto"/>
              <w:ind w:right="77"/>
              <w:jc w:val="center"/>
              <w:rPr>
                <w:b/>
                <w:bCs/>
              </w:rPr>
            </w:pPr>
            <w:r>
              <w:rPr>
                <w:b/>
                <w:bCs/>
              </w:rPr>
              <w:t>-0.5</w:t>
            </w:r>
          </w:p>
        </w:tc>
        <w:tc>
          <w:tcPr>
            <w:tcW w:w="978" w:type="dxa"/>
            <w:tcBorders>
              <w:bottom w:val="nil"/>
            </w:tcBorders>
            <w:vAlign w:val="center"/>
          </w:tcPr>
          <w:p w:rsidR="00CB3495" w:rsidRPr="00A759A9" w:rsidRDefault="00CB3495" w:rsidP="00936426">
            <w:pPr>
              <w:spacing w:line="288" w:lineRule="auto"/>
              <w:ind w:right="77"/>
              <w:jc w:val="center"/>
              <w:rPr>
                <w:b/>
                <w:bCs/>
              </w:rPr>
            </w:pPr>
            <w:r>
              <w:rPr>
                <w:b/>
                <w:bCs/>
              </w:rPr>
              <w:t>4.7</w:t>
            </w:r>
          </w:p>
        </w:tc>
        <w:tc>
          <w:tcPr>
            <w:tcW w:w="978" w:type="dxa"/>
            <w:tcBorders>
              <w:bottom w:val="nil"/>
            </w:tcBorders>
            <w:vAlign w:val="center"/>
          </w:tcPr>
          <w:p w:rsidR="00CB3495" w:rsidRPr="00A759A9" w:rsidRDefault="00CB3495" w:rsidP="00936426">
            <w:pPr>
              <w:spacing w:line="288" w:lineRule="auto"/>
              <w:ind w:right="77"/>
              <w:jc w:val="center"/>
              <w:rPr>
                <w:b/>
                <w:bCs/>
              </w:rPr>
            </w:pPr>
            <w:r>
              <w:rPr>
                <w:b/>
                <w:bCs/>
              </w:rPr>
              <w:t>-1.2</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8.7</w:t>
            </w: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rPr>
                <w:b/>
                <w:bCs/>
              </w:rPr>
            </w:pPr>
            <w:r>
              <w:rPr>
                <w:b/>
                <w:bCs/>
              </w:rPr>
              <w:t>**</w:t>
            </w: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rPr>
                <w:b/>
                <w:bCs/>
              </w:rPr>
            </w:pPr>
            <w:r>
              <w:rPr>
                <w:b/>
                <w:bCs/>
              </w:rPr>
              <w:t>11.7</w:t>
            </w:r>
          </w:p>
        </w:tc>
        <w:tc>
          <w:tcPr>
            <w:tcW w:w="988" w:type="dxa"/>
            <w:tcBorders>
              <w:bottom w:val="nil"/>
            </w:tcBorders>
            <w:vAlign w:val="center"/>
          </w:tcPr>
          <w:p w:rsidR="00CB3495" w:rsidRPr="00A759A9" w:rsidRDefault="00CB3495" w:rsidP="00A759A9">
            <w:pPr>
              <w:spacing w:line="288" w:lineRule="auto"/>
              <w:ind w:right="77"/>
              <w:jc w:val="center"/>
              <w:rPr>
                <w:b/>
                <w:bCs/>
              </w:rPr>
            </w:pPr>
            <w:r>
              <w:rPr>
                <w:b/>
                <w:bCs/>
              </w:rPr>
              <w:t>6.0</w:t>
            </w:r>
          </w:p>
        </w:tc>
      </w:tr>
      <w:tr w:rsidR="00CB3495" w:rsidRPr="00A759A9" w:rsidTr="00DA2477">
        <w:tc>
          <w:tcPr>
            <w:tcW w:w="3245" w:type="dxa"/>
            <w:tcBorders>
              <w:bottom w:val="nil"/>
            </w:tcBorders>
            <w:vAlign w:val="center"/>
          </w:tcPr>
          <w:p w:rsidR="00CB3495" w:rsidRPr="00A759A9" w:rsidRDefault="00CB3495" w:rsidP="00A759A9">
            <w:pPr>
              <w:spacing w:line="288" w:lineRule="auto"/>
              <w:ind w:right="77"/>
              <w:jc w:val="center"/>
              <w:rPr>
                <w:b/>
                <w:bCs/>
              </w:rPr>
            </w:pPr>
            <w:r w:rsidRPr="00A759A9">
              <w:rPr>
                <w:b/>
                <w:bCs/>
                <w:sz w:val="22"/>
                <w:szCs w:val="22"/>
              </w:rPr>
              <w:t>İthalat</w:t>
            </w:r>
          </w:p>
        </w:tc>
        <w:tc>
          <w:tcPr>
            <w:tcW w:w="977" w:type="dxa"/>
            <w:tcBorders>
              <w:bottom w:val="nil"/>
            </w:tcBorders>
            <w:vAlign w:val="center"/>
          </w:tcPr>
          <w:p w:rsidR="00CB3495" w:rsidRPr="00A759A9" w:rsidRDefault="00CB3495" w:rsidP="00936426">
            <w:pPr>
              <w:spacing w:line="288" w:lineRule="auto"/>
              <w:ind w:right="77"/>
              <w:jc w:val="center"/>
              <w:rPr>
                <w:b/>
                <w:bCs/>
              </w:rPr>
            </w:pPr>
            <w:r>
              <w:rPr>
                <w:b/>
                <w:bCs/>
              </w:rPr>
              <w:t>6.1</w:t>
            </w:r>
          </w:p>
        </w:tc>
        <w:tc>
          <w:tcPr>
            <w:tcW w:w="978" w:type="dxa"/>
            <w:tcBorders>
              <w:bottom w:val="nil"/>
            </w:tcBorders>
            <w:vAlign w:val="center"/>
          </w:tcPr>
          <w:p w:rsidR="00CB3495" w:rsidRPr="00A759A9" w:rsidRDefault="00CB3495" w:rsidP="00936426">
            <w:pPr>
              <w:spacing w:line="288" w:lineRule="auto"/>
              <w:ind w:right="77"/>
              <w:jc w:val="center"/>
              <w:rPr>
                <w:b/>
                <w:bCs/>
              </w:rPr>
            </w:pPr>
            <w:r>
              <w:rPr>
                <w:b/>
                <w:bCs/>
              </w:rPr>
              <w:t>-1.9</w:t>
            </w:r>
          </w:p>
        </w:tc>
        <w:tc>
          <w:tcPr>
            <w:tcW w:w="978" w:type="dxa"/>
            <w:tcBorders>
              <w:bottom w:val="nil"/>
            </w:tcBorders>
            <w:vAlign w:val="center"/>
          </w:tcPr>
          <w:p w:rsidR="00CB3495" w:rsidRPr="00A759A9" w:rsidRDefault="00CB3495" w:rsidP="00936426">
            <w:pPr>
              <w:spacing w:line="288" w:lineRule="auto"/>
              <w:ind w:right="77"/>
              <w:jc w:val="center"/>
              <w:rPr>
                <w:b/>
                <w:bCs/>
              </w:rPr>
            </w:pPr>
            <w:r>
              <w:rPr>
                <w:b/>
                <w:bCs/>
              </w:rPr>
              <w:t>0.1</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-2.0</w:t>
            </w: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rPr>
                <w:b/>
                <w:bCs/>
              </w:rPr>
            </w:pPr>
            <w:r>
              <w:rPr>
                <w:b/>
                <w:bCs/>
              </w:rPr>
              <w:t>**</w:t>
            </w: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rPr>
                <w:b/>
                <w:bCs/>
              </w:rPr>
            </w:pPr>
            <w:r>
              <w:rPr>
                <w:b/>
                <w:bCs/>
              </w:rPr>
              <w:t>2.8</w:t>
            </w:r>
          </w:p>
        </w:tc>
        <w:tc>
          <w:tcPr>
            <w:tcW w:w="988" w:type="dxa"/>
            <w:tcBorders>
              <w:bottom w:val="nil"/>
            </w:tcBorders>
            <w:vAlign w:val="center"/>
          </w:tcPr>
          <w:p w:rsidR="00CB3495" w:rsidRPr="00A759A9" w:rsidRDefault="00CB3495" w:rsidP="00A759A9">
            <w:pPr>
              <w:spacing w:line="288" w:lineRule="auto"/>
              <w:ind w:right="77"/>
              <w:jc w:val="center"/>
              <w:rPr>
                <w:b/>
                <w:bCs/>
              </w:rPr>
            </w:pPr>
            <w:r>
              <w:rPr>
                <w:b/>
                <w:bCs/>
              </w:rPr>
              <w:t>-0.3</w:t>
            </w:r>
          </w:p>
        </w:tc>
      </w:tr>
      <w:tr w:rsidR="00CB3495" w:rsidRPr="00A759A9" w:rsidTr="00DA2477">
        <w:tc>
          <w:tcPr>
            <w:tcW w:w="3245" w:type="dxa"/>
            <w:tcBorders>
              <w:top w:val="nil"/>
              <w:bottom w:val="nil"/>
            </w:tcBorders>
            <w:vAlign w:val="center"/>
          </w:tcPr>
          <w:p w:rsidR="00CB3495" w:rsidRPr="00A759A9" w:rsidRDefault="00CB3495" w:rsidP="00A759A9">
            <w:pPr>
              <w:spacing w:line="288" w:lineRule="auto"/>
              <w:ind w:right="77"/>
              <w:jc w:val="center"/>
            </w:pPr>
            <w:r w:rsidRPr="00A759A9">
              <w:rPr>
                <w:sz w:val="22"/>
                <w:szCs w:val="22"/>
              </w:rPr>
              <w:t>Ara malı ithalatı</w:t>
            </w:r>
          </w:p>
        </w:tc>
        <w:tc>
          <w:tcPr>
            <w:tcW w:w="977" w:type="dxa"/>
            <w:tcBorders>
              <w:top w:val="nil"/>
              <w:bottom w:val="nil"/>
            </w:tcBorders>
            <w:vAlign w:val="center"/>
          </w:tcPr>
          <w:p w:rsidR="00CB3495" w:rsidRPr="00A759A9" w:rsidRDefault="00CB3495" w:rsidP="00936426">
            <w:pPr>
              <w:spacing w:line="288" w:lineRule="auto"/>
              <w:ind w:right="77"/>
              <w:jc w:val="center"/>
            </w:pPr>
            <w:r>
              <w:t>8.7</w:t>
            </w:r>
          </w:p>
        </w:tc>
        <w:tc>
          <w:tcPr>
            <w:tcW w:w="978" w:type="dxa"/>
            <w:tcBorders>
              <w:top w:val="nil"/>
              <w:bottom w:val="nil"/>
            </w:tcBorders>
            <w:vAlign w:val="center"/>
          </w:tcPr>
          <w:p w:rsidR="00CB3495" w:rsidRPr="00A759A9" w:rsidRDefault="00CB3495" w:rsidP="00936426">
            <w:pPr>
              <w:spacing w:line="288" w:lineRule="auto"/>
              <w:ind w:right="77"/>
              <w:jc w:val="center"/>
            </w:pPr>
            <w:r>
              <w:t>-1.5</w:t>
            </w:r>
          </w:p>
        </w:tc>
        <w:tc>
          <w:tcPr>
            <w:tcW w:w="978" w:type="dxa"/>
            <w:tcBorders>
              <w:top w:val="nil"/>
              <w:bottom w:val="nil"/>
            </w:tcBorders>
            <w:vAlign w:val="center"/>
          </w:tcPr>
          <w:p w:rsidR="00CB3495" w:rsidRPr="00A759A9" w:rsidRDefault="00CB3495" w:rsidP="00936426">
            <w:pPr>
              <w:spacing w:line="288" w:lineRule="auto"/>
              <w:ind w:right="77"/>
              <w:jc w:val="center"/>
            </w:pPr>
            <w:r>
              <w:t>0.9</w:t>
            </w:r>
          </w:p>
        </w:tc>
        <w:tc>
          <w:tcPr>
            <w:tcW w:w="978" w:type="dxa"/>
            <w:tcBorders>
              <w:top w:val="nil"/>
              <w:bottom w:val="nil"/>
            </w:tcBorders>
            <w:vAlign w:val="center"/>
          </w:tcPr>
          <w:p w:rsidR="00CB3495" w:rsidRPr="00A759A9" w:rsidRDefault="00CB3495" w:rsidP="00A759A9">
            <w:pPr>
              <w:spacing w:line="288" w:lineRule="auto"/>
              <w:ind w:right="77"/>
              <w:jc w:val="center"/>
            </w:pPr>
            <w:r>
              <w:t>-2.9</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5.0</w:t>
            </w:r>
          </w:p>
        </w:tc>
        <w:tc>
          <w:tcPr>
            <w:tcW w:w="988" w:type="dxa"/>
            <w:tcBorders>
              <w:top w:val="nil"/>
              <w:bottom w:val="nil"/>
            </w:tcBorders>
            <w:vAlign w:val="center"/>
          </w:tcPr>
          <w:p w:rsidR="00CB3495" w:rsidRPr="00A759A9" w:rsidRDefault="00CB3495" w:rsidP="00A759A9">
            <w:pPr>
              <w:spacing w:line="288" w:lineRule="auto"/>
              <w:ind w:right="77"/>
              <w:jc w:val="center"/>
            </w:pPr>
            <w:r>
              <w:t>1.2</w:t>
            </w:r>
          </w:p>
        </w:tc>
      </w:tr>
      <w:tr w:rsidR="00CB3495" w:rsidRPr="00A759A9" w:rsidTr="00DA2477">
        <w:tc>
          <w:tcPr>
            <w:tcW w:w="3245" w:type="dxa"/>
            <w:tcBorders>
              <w:top w:val="nil"/>
              <w:bottom w:val="nil"/>
            </w:tcBorders>
            <w:vAlign w:val="center"/>
          </w:tcPr>
          <w:p w:rsidR="00CB3495" w:rsidRPr="00A759A9" w:rsidRDefault="00CB3495" w:rsidP="00A759A9">
            <w:pPr>
              <w:spacing w:line="288" w:lineRule="auto"/>
              <w:ind w:right="77"/>
              <w:jc w:val="center"/>
            </w:pPr>
            <w:r w:rsidRPr="00A759A9">
              <w:rPr>
                <w:sz w:val="22"/>
                <w:szCs w:val="22"/>
              </w:rPr>
              <w:t>Tüketim malı ithalatı</w:t>
            </w:r>
          </w:p>
        </w:tc>
        <w:tc>
          <w:tcPr>
            <w:tcW w:w="977" w:type="dxa"/>
            <w:tcBorders>
              <w:top w:val="nil"/>
              <w:bottom w:val="nil"/>
            </w:tcBorders>
            <w:vAlign w:val="center"/>
          </w:tcPr>
          <w:p w:rsidR="00CB3495" w:rsidRPr="00A759A9" w:rsidRDefault="00CB3495" w:rsidP="00936426">
            <w:pPr>
              <w:spacing w:line="288" w:lineRule="auto"/>
              <w:ind w:right="77"/>
              <w:jc w:val="center"/>
            </w:pPr>
            <w:r>
              <w:t>17.7</w:t>
            </w:r>
          </w:p>
        </w:tc>
        <w:tc>
          <w:tcPr>
            <w:tcW w:w="978" w:type="dxa"/>
            <w:tcBorders>
              <w:top w:val="nil"/>
              <w:bottom w:val="nil"/>
            </w:tcBorders>
            <w:vAlign w:val="center"/>
          </w:tcPr>
          <w:p w:rsidR="00CB3495" w:rsidRPr="00A759A9" w:rsidRDefault="00CB3495" w:rsidP="002D3C8B">
            <w:pPr>
              <w:spacing w:line="288" w:lineRule="auto"/>
              <w:ind w:right="77"/>
              <w:jc w:val="center"/>
            </w:pPr>
            <w:r>
              <w:t>-9.6</w:t>
            </w:r>
          </w:p>
        </w:tc>
        <w:tc>
          <w:tcPr>
            <w:tcW w:w="978" w:type="dxa"/>
            <w:tcBorders>
              <w:top w:val="nil"/>
              <w:bottom w:val="nil"/>
            </w:tcBorders>
            <w:vAlign w:val="center"/>
          </w:tcPr>
          <w:p w:rsidR="00CB3495" w:rsidRPr="00A759A9" w:rsidRDefault="00CB3495" w:rsidP="002D3C8B">
            <w:pPr>
              <w:spacing w:line="288" w:lineRule="auto"/>
              <w:ind w:right="77"/>
              <w:jc w:val="center"/>
            </w:pPr>
            <w:r>
              <w:t>5.8</w:t>
            </w:r>
          </w:p>
        </w:tc>
        <w:tc>
          <w:tcPr>
            <w:tcW w:w="978" w:type="dxa"/>
            <w:tcBorders>
              <w:top w:val="nil"/>
              <w:bottom w:val="nil"/>
            </w:tcBorders>
            <w:vAlign w:val="center"/>
          </w:tcPr>
          <w:p w:rsidR="00CB3495" w:rsidRPr="00A759A9" w:rsidRDefault="00CB3495" w:rsidP="002D3C8B">
            <w:pPr>
              <w:spacing w:line="288" w:lineRule="auto"/>
              <w:ind w:right="77"/>
              <w:jc w:val="center"/>
            </w:pPr>
            <w:r>
              <w:t>-6.9</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1.8</w:t>
            </w:r>
          </w:p>
        </w:tc>
        <w:tc>
          <w:tcPr>
            <w:tcW w:w="988" w:type="dxa"/>
            <w:tcBorders>
              <w:top w:val="nil"/>
              <w:bottom w:val="nil"/>
            </w:tcBorders>
            <w:vAlign w:val="center"/>
          </w:tcPr>
          <w:p w:rsidR="00CB3495" w:rsidRPr="00A759A9" w:rsidRDefault="00CB3495" w:rsidP="00A759A9">
            <w:pPr>
              <w:spacing w:line="288" w:lineRule="auto"/>
              <w:ind w:right="77"/>
              <w:jc w:val="center"/>
            </w:pPr>
            <w:r>
              <w:t>0.6</w:t>
            </w:r>
          </w:p>
        </w:tc>
      </w:tr>
      <w:tr w:rsidR="00CB3495" w:rsidRPr="00A759A9" w:rsidTr="00DA2477">
        <w:tc>
          <w:tcPr>
            <w:tcW w:w="3245" w:type="dxa"/>
            <w:tcBorders>
              <w:top w:val="nil"/>
            </w:tcBorders>
            <w:vAlign w:val="center"/>
          </w:tcPr>
          <w:p w:rsidR="00CB3495" w:rsidRPr="00A759A9" w:rsidRDefault="00CB3495" w:rsidP="00A759A9">
            <w:pPr>
              <w:spacing w:line="288" w:lineRule="auto"/>
              <w:ind w:right="77"/>
              <w:jc w:val="center"/>
            </w:pPr>
            <w:r w:rsidRPr="00A759A9">
              <w:rPr>
                <w:sz w:val="22"/>
                <w:szCs w:val="22"/>
              </w:rPr>
              <w:t>Yatırım malı ithalatı</w:t>
            </w:r>
          </w:p>
        </w:tc>
        <w:tc>
          <w:tcPr>
            <w:tcW w:w="977" w:type="dxa"/>
            <w:tcBorders>
              <w:top w:val="nil"/>
            </w:tcBorders>
            <w:vAlign w:val="center"/>
          </w:tcPr>
          <w:p w:rsidR="00CB3495" w:rsidRPr="00A759A9" w:rsidRDefault="00CB3495" w:rsidP="00936426">
            <w:pPr>
              <w:spacing w:line="288" w:lineRule="auto"/>
              <w:ind w:right="77"/>
              <w:jc w:val="center"/>
            </w:pPr>
            <w:r>
              <w:t>5.2</w:t>
            </w:r>
          </w:p>
        </w:tc>
        <w:tc>
          <w:tcPr>
            <w:tcW w:w="978" w:type="dxa"/>
            <w:tcBorders>
              <w:top w:val="nil"/>
            </w:tcBorders>
            <w:vAlign w:val="center"/>
          </w:tcPr>
          <w:p w:rsidR="00CB3495" w:rsidRPr="00A759A9" w:rsidRDefault="00CB3495" w:rsidP="00936426">
            <w:pPr>
              <w:spacing w:line="288" w:lineRule="auto"/>
              <w:ind w:right="77"/>
              <w:jc w:val="center"/>
            </w:pPr>
            <w:r>
              <w:t>-27.6</w:t>
            </w:r>
          </w:p>
        </w:tc>
        <w:tc>
          <w:tcPr>
            <w:tcW w:w="978" w:type="dxa"/>
            <w:tcBorders>
              <w:top w:val="nil"/>
            </w:tcBorders>
            <w:vAlign w:val="center"/>
          </w:tcPr>
          <w:p w:rsidR="00CB3495" w:rsidRPr="00A759A9" w:rsidRDefault="00CB3495" w:rsidP="00936426">
            <w:pPr>
              <w:spacing w:line="288" w:lineRule="auto"/>
              <w:ind w:right="77"/>
              <w:jc w:val="center"/>
            </w:pPr>
            <w:r>
              <w:t>12.4</w:t>
            </w:r>
          </w:p>
        </w:tc>
        <w:tc>
          <w:tcPr>
            <w:tcW w:w="978" w:type="dxa"/>
            <w:tcBorders>
              <w:top w:val="nil"/>
            </w:tcBorders>
            <w:vAlign w:val="center"/>
          </w:tcPr>
          <w:p w:rsidR="00CB3495" w:rsidRPr="00A759A9" w:rsidRDefault="00CB3495" w:rsidP="00A759A9">
            <w:pPr>
              <w:spacing w:line="288" w:lineRule="auto"/>
              <w:ind w:right="77"/>
              <w:jc w:val="center"/>
            </w:pPr>
            <w:r>
              <w:t>1.4</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-7.8</w:t>
            </w:r>
          </w:p>
        </w:tc>
        <w:tc>
          <w:tcPr>
            <w:tcW w:w="988" w:type="dxa"/>
            <w:tcBorders>
              <w:top w:val="nil"/>
            </w:tcBorders>
            <w:vAlign w:val="center"/>
          </w:tcPr>
          <w:p w:rsidR="00CB3495" w:rsidRPr="00A759A9" w:rsidRDefault="00CB3495" w:rsidP="00A759A9">
            <w:pPr>
              <w:spacing w:line="288" w:lineRule="auto"/>
              <w:ind w:right="77"/>
              <w:jc w:val="center"/>
            </w:pPr>
            <w:r>
              <w:t>-8.0</w:t>
            </w:r>
          </w:p>
        </w:tc>
      </w:tr>
      <w:tr w:rsidR="00CB3495" w:rsidRPr="00A759A9" w:rsidTr="00DA2477">
        <w:tc>
          <w:tcPr>
            <w:tcW w:w="3245" w:type="dxa"/>
            <w:tcBorders>
              <w:bottom w:val="nil"/>
            </w:tcBorders>
            <w:vAlign w:val="center"/>
          </w:tcPr>
          <w:p w:rsidR="00CB3495" w:rsidRPr="00A759A9" w:rsidRDefault="00CB3495" w:rsidP="00936426">
            <w:pPr>
              <w:spacing w:line="288" w:lineRule="auto"/>
              <w:ind w:right="77"/>
              <w:jc w:val="center"/>
              <w:rPr>
                <w:b/>
                <w:bCs/>
              </w:rPr>
            </w:pPr>
            <w:r w:rsidRPr="00A759A9">
              <w:rPr>
                <w:b/>
                <w:bCs/>
                <w:sz w:val="22"/>
                <w:szCs w:val="22"/>
              </w:rPr>
              <w:t>Sanayi Üretim Endeksi (SÜE)</w:t>
            </w:r>
          </w:p>
        </w:tc>
        <w:tc>
          <w:tcPr>
            <w:tcW w:w="977" w:type="dxa"/>
            <w:tcBorders>
              <w:bottom w:val="nil"/>
            </w:tcBorders>
            <w:vAlign w:val="center"/>
          </w:tcPr>
          <w:p w:rsidR="00CB3495" w:rsidRPr="00A759A9" w:rsidRDefault="00CB3495" w:rsidP="00A759A9">
            <w:pPr>
              <w:spacing w:line="288" w:lineRule="auto"/>
              <w:ind w:right="77"/>
              <w:jc w:val="center"/>
              <w:rPr>
                <w:b/>
                <w:bCs/>
              </w:rPr>
            </w:pPr>
            <w:r>
              <w:rPr>
                <w:b/>
                <w:bCs/>
              </w:rPr>
              <w:t>0.7</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-1.5</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1.3</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-2.3</w:t>
            </w: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rPr>
                <w:b/>
                <w:bCs/>
              </w:rPr>
            </w:pPr>
            <w:r>
              <w:rPr>
                <w:b/>
                <w:bCs/>
              </w:rPr>
              <w:t>**</w:t>
            </w: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rPr>
                <w:b/>
                <w:bCs/>
              </w:rPr>
            </w:pPr>
            <w:r>
              <w:rPr>
                <w:b/>
                <w:bCs/>
              </w:rPr>
              <w:t>1.3</w:t>
            </w:r>
          </w:p>
        </w:tc>
        <w:tc>
          <w:tcPr>
            <w:tcW w:w="988" w:type="dxa"/>
            <w:tcBorders>
              <w:bottom w:val="nil"/>
            </w:tcBorders>
            <w:vAlign w:val="center"/>
          </w:tcPr>
          <w:p w:rsidR="00CB3495" w:rsidRPr="00A759A9" w:rsidRDefault="00CB3495" w:rsidP="00A759A9">
            <w:pPr>
              <w:spacing w:line="288" w:lineRule="auto"/>
              <w:ind w:right="77"/>
              <w:jc w:val="center"/>
              <w:rPr>
                <w:b/>
                <w:bCs/>
              </w:rPr>
            </w:pPr>
            <w:r>
              <w:rPr>
                <w:b/>
                <w:bCs/>
              </w:rPr>
              <w:t>-0.7</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Dayanıksız tüketim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4.5</w:t>
            </w:r>
          </w:p>
        </w:tc>
        <w:tc>
          <w:tcPr>
            <w:tcW w:w="978" w:type="dxa"/>
            <w:tcBorders>
              <w:top w:val="nil"/>
              <w:bottom w:val="nil"/>
            </w:tcBorders>
            <w:vAlign w:val="center"/>
          </w:tcPr>
          <w:p w:rsidR="00CB3495" w:rsidRPr="00A759A9" w:rsidRDefault="00CB3495" w:rsidP="00A759A9">
            <w:pPr>
              <w:spacing w:line="288" w:lineRule="auto"/>
              <w:ind w:right="77"/>
              <w:jc w:val="center"/>
            </w:pPr>
            <w:r>
              <w:t>-6.9</w:t>
            </w:r>
          </w:p>
        </w:tc>
        <w:tc>
          <w:tcPr>
            <w:tcW w:w="978" w:type="dxa"/>
            <w:tcBorders>
              <w:top w:val="nil"/>
              <w:bottom w:val="nil"/>
            </w:tcBorders>
            <w:vAlign w:val="center"/>
          </w:tcPr>
          <w:p w:rsidR="00CB3495" w:rsidRPr="00A759A9" w:rsidRDefault="00CB3495" w:rsidP="00A759A9">
            <w:pPr>
              <w:spacing w:line="288" w:lineRule="auto"/>
              <w:ind w:right="77"/>
              <w:jc w:val="center"/>
            </w:pPr>
            <w:r>
              <w:t>5.6</w:t>
            </w:r>
          </w:p>
        </w:tc>
        <w:tc>
          <w:tcPr>
            <w:tcW w:w="978" w:type="dxa"/>
            <w:tcBorders>
              <w:top w:val="nil"/>
              <w:bottom w:val="nil"/>
            </w:tcBorders>
            <w:vAlign w:val="center"/>
          </w:tcPr>
          <w:p w:rsidR="00CB3495" w:rsidRPr="00A759A9" w:rsidRDefault="00CB3495" w:rsidP="00A759A9">
            <w:pPr>
              <w:spacing w:line="288" w:lineRule="auto"/>
              <w:ind w:right="77"/>
              <w:jc w:val="center"/>
            </w:pPr>
            <w:r>
              <w:t>-1.8</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2.3</w:t>
            </w:r>
          </w:p>
        </w:tc>
        <w:tc>
          <w:tcPr>
            <w:tcW w:w="988" w:type="dxa"/>
            <w:tcBorders>
              <w:top w:val="nil"/>
              <w:bottom w:val="nil"/>
            </w:tcBorders>
            <w:vAlign w:val="center"/>
          </w:tcPr>
          <w:p w:rsidR="00CB3495" w:rsidRPr="00A759A9" w:rsidRDefault="00CB3495" w:rsidP="00A759A9">
            <w:pPr>
              <w:spacing w:line="288" w:lineRule="auto"/>
              <w:ind w:right="77"/>
              <w:jc w:val="center"/>
            </w:pPr>
            <w:r>
              <w:t>1.3</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Dayanıklı tüketim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2.1</w:t>
            </w:r>
          </w:p>
        </w:tc>
        <w:tc>
          <w:tcPr>
            <w:tcW w:w="978" w:type="dxa"/>
            <w:tcBorders>
              <w:top w:val="nil"/>
              <w:bottom w:val="nil"/>
            </w:tcBorders>
            <w:vAlign w:val="center"/>
          </w:tcPr>
          <w:p w:rsidR="00CB3495" w:rsidRPr="00A759A9" w:rsidRDefault="00CB3495" w:rsidP="00A759A9">
            <w:pPr>
              <w:spacing w:line="288" w:lineRule="auto"/>
              <w:ind w:right="77"/>
              <w:jc w:val="center"/>
            </w:pPr>
            <w:r>
              <w:t>-6.5</w:t>
            </w:r>
          </w:p>
        </w:tc>
        <w:tc>
          <w:tcPr>
            <w:tcW w:w="978" w:type="dxa"/>
            <w:tcBorders>
              <w:top w:val="nil"/>
              <w:bottom w:val="nil"/>
            </w:tcBorders>
            <w:vAlign w:val="center"/>
          </w:tcPr>
          <w:p w:rsidR="00CB3495" w:rsidRPr="00A759A9" w:rsidRDefault="00CB3495" w:rsidP="00A759A9">
            <w:pPr>
              <w:spacing w:line="288" w:lineRule="auto"/>
              <w:ind w:right="77"/>
              <w:jc w:val="center"/>
            </w:pPr>
            <w:r>
              <w:t>4.1</w:t>
            </w:r>
          </w:p>
        </w:tc>
        <w:tc>
          <w:tcPr>
            <w:tcW w:w="978" w:type="dxa"/>
            <w:tcBorders>
              <w:top w:val="nil"/>
              <w:bottom w:val="nil"/>
            </w:tcBorders>
            <w:vAlign w:val="center"/>
          </w:tcPr>
          <w:p w:rsidR="00CB3495" w:rsidRPr="00A759A9" w:rsidRDefault="00CB3495" w:rsidP="00A759A9">
            <w:pPr>
              <w:spacing w:line="288" w:lineRule="auto"/>
              <w:ind w:right="77"/>
              <w:jc w:val="center"/>
            </w:pPr>
            <w:r>
              <w:t>-1.5</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1.2</w:t>
            </w:r>
          </w:p>
        </w:tc>
        <w:tc>
          <w:tcPr>
            <w:tcW w:w="988" w:type="dxa"/>
            <w:tcBorders>
              <w:top w:val="nil"/>
              <w:bottom w:val="nil"/>
            </w:tcBorders>
            <w:vAlign w:val="center"/>
          </w:tcPr>
          <w:p w:rsidR="00CB3495" w:rsidRPr="00A759A9" w:rsidRDefault="00CB3495" w:rsidP="00A759A9">
            <w:pPr>
              <w:spacing w:line="288" w:lineRule="auto"/>
              <w:ind w:right="77"/>
              <w:jc w:val="center"/>
            </w:pPr>
            <w:r>
              <w:t>-0.6</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Ara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1.1</w:t>
            </w:r>
          </w:p>
        </w:tc>
        <w:tc>
          <w:tcPr>
            <w:tcW w:w="978" w:type="dxa"/>
            <w:tcBorders>
              <w:top w:val="nil"/>
              <w:bottom w:val="nil"/>
            </w:tcBorders>
            <w:vAlign w:val="center"/>
          </w:tcPr>
          <w:p w:rsidR="00CB3495" w:rsidRPr="00A759A9" w:rsidRDefault="00CB3495" w:rsidP="00A759A9">
            <w:pPr>
              <w:spacing w:line="288" w:lineRule="auto"/>
              <w:ind w:right="77"/>
              <w:jc w:val="center"/>
            </w:pPr>
            <w:r>
              <w:t>-1.1</w:t>
            </w:r>
          </w:p>
        </w:tc>
        <w:tc>
          <w:tcPr>
            <w:tcW w:w="978" w:type="dxa"/>
            <w:tcBorders>
              <w:top w:val="nil"/>
              <w:bottom w:val="nil"/>
            </w:tcBorders>
            <w:vAlign w:val="center"/>
          </w:tcPr>
          <w:p w:rsidR="00CB3495" w:rsidRPr="00A759A9" w:rsidRDefault="00CB3495" w:rsidP="00A759A9">
            <w:pPr>
              <w:spacing w:line="288" w:lineRule="auto"/>
              <w:ind w:right="77"/>
              <w:jc w:val="center"/>
            </w:pPr>
            <w:r>
              <w:t>0.9</w:t>
            </w:r>
          </w:p>
        </w:tc>
        <w:tc>
          <w:tcPr>
            <w:tcW w:w="978" w:type="dxa"/>
            <w:tcBorders>
              <w:top w:val="nil"/>
              <w:bottom w:val="nil"/>
            </w:tcBorders>
            <w:vAlign w:val="center"/>
          </w:tcPr>
          <w:p w:rsidR="00CB3495" w:rsidRPr="00A759A9" w:rsidRDefault="00CB3495" w:rsidP="00A759A9">
            <w:pPr>
              <w:spacing w:line="288" w:lineRule="auto"/>
              <w:ind w:right="77"/>
              <w:jc w:val="center"/>
            </w:pPr>
            <w:r>
              <w:t>-1.7</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1.8</w:t>
            </w:r>
          </w:p>
        </w:tc>
        <w:tc>
          <w:tcPr>
            <w:tcW w:w="988" w:type="dxa"/>
            <w:tcBorders>
              <w:top w:val="nil"/>
              <w:bottom w:val="nil"/>
            </w:tcBorders>
            <w:vAlign w:val="center"/>
          </w:tcPr>
          <w:p w:rsidR="00CB3495" w:rsidRPr="00A759A9" w:rsidRDefault="00CB3495" w:rsidP="00A759A9">
            <w:pPr>
              <w:spacing w:line="288" w:lineRule="auto"/>
              <w:ind w:right="77"/>
              <w:jc w:val="center"/>
            </w:pPr>
            <w:r>
              <w:t>-0.3</w:t>
            </w:r>
          </w:p>
        </w:tc>
      </w:tr>
      <w:tr w:rsidR="00CB3495" w:rsidRPr="00A759A9" w:rsidTr="00DA2477">
        <w:tc>
          <w:tcPr>
            <w:tcW w:w="3245" w:type="dxa"/>
            <w:tcBorders>
              <w:top w:val="nil"/>
            </w:tcBorders>
            <w:vAlign w:val="center"/>
          </w:tcPr>
          <w:p w:rsidR="00CB3495" w:rsidRPr="00A759A9" w:rsidRDefault="00CB3495" w:rsidP="00936426">
            <w:pPr>
              <w:spacing w:line="288" w:lineRule="auto"/>
              <w:ind w:right="77"/>
              <w:jc w:val="center"/>
            </w:pPr>
            <w:r w:rsidRPr="00A759A9">
              <w:rPr>
                <w:sz w:val="22"/>
                <w:szCs w:val="22"/>
              </w:rPr>
              <w:t>Yatırım malı imalatı</w:t>
            </w:r>
          </w:p>
        </w:tc>
        <w:tc>
          <w:tcPr>
            <w:tcW w:w="977" w:type="dxa"/>
            <w:tcBorders>
              <w:top w:val="nil"/>
            </w:tcBorders>
            <w:vAlign w:val="center"/>
          </w:tcPr>
          <w:p w:rsidR="00CB3495" w:rsidRPr="00A759A9" w:rsidRDefault="00CB3495" w:rsidP="00A759A9">
            <w:pPr>
              <w:spacing w:line="288" w:lineRule="auto"/>
              <w:ind w:right="77"/>
              <w:jc w:val="center"/>
            </w:pPr>
            <w:r>
              <w:t>4.4</w:t>
            </w:r>
          </w:p>
        </w:tc>
        <w:tc>
          <w:tcPr>
            <w:tcW w:w="978" w:type="dxa"/>
            <w:tcBorders>
              <w:top w:val="nil"/>
            </w:tcBorders>
            <w:vAlign w:val="center"/>
          </w:tcPr>
          <w:p w:rsidR="00CB3495" w:rsidRPr="00A759A9" w:rsidRDefault="00CB3495" w:rsidP="00A759A9">
            <w:pPr>
              <w:spacing w:line="288" w:lineRule="auto"/>
              <w:ind w:right="77"/>
              <w:jc w:val="center"/>
            </w:pPr>
            <w:r>
              <w:t>-7.9</w:t>
            </w:r>
          </w:p>
        </w:tc>
        <w:tc>
          <w:tcPr>
            <w:tcW w:w="978" w:type="dxa"/>
            <w:tcBorders>
              <w:top w:val="nil"/>
            </w:tcBorders>
            <w:vAlign w:val="center"/>
          </w:tcPr>
          <w:p w:rsidR="00CB3495" w:rsidRPr="00A759A9" w:rsidRDefault="00CB3495" w:rsidP="00A759A9">
            <w:pPr>
              <w:spacing w:line="288" w:lineRule="auto"/>
              <w:ind w:right="77"/>
              <w:jc w:val="center"/>
            </w:pPr>
            <w:r>
              <w:t>4.4</w:t>
            </w:r>
          </w:p>
        </w:tc>
        <w:tc>
          <w:tcPr>
            <w:tcW w:w="978" w:type="dxa"/>
            <w:tcBorders>
              <w:top w:val="nil"/>
            </w:tcBorders>
            <w:vAlign w:val="center"/>
          </w:tcPr>
          <w:p w:rsidR="00CB3495" w:rsidRPr="00A759A9" w:rsidRDefault="00CB3495" w:rsidP="00A759A9">
            <w:pPr>
              <w:spacing w:line="288" w:lineRule="auto"/>
              <w:ind w:right="77"/>
              <w:jc w:val="center"/>
            </w:pPr>
            <w:r>
              <w:t>-7.6</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1.6</w:t>
            </w:r>
          </w:p>
        </w:tc>
        <w:tc>
          <w:tcPr>
            <w:tcW w:w="988" w:type="dxa"/>
            <w:tcBorders>
              <w:top w:val="nil"/>
            </w:tcBorders>
            <w:vAlign w:val="center"/>
          </w:tcPr>
          <w:p w:rsidR="00CB3495" w:rsidRPr="00A759A9" w:rsidRDefault="00CB3495" w:rsidP="00A759A9">
            <w:pPr>
              <w:spacing w:line="288" w:lineRule="auto"/>
              <w:ind w:right="77"/>
              <w:jc w:val="center"/>
            </w:pPr>
            <w:r>
              <w:t>-3.6</w:t>
            </w:r>
          </w:p>
        </w:tc>
      </w:tr>
      <w:tr w:rsidR="00CB3495" w:rsidRPr="00A759A9" w:rsidTr="00DA2477">
        <w:tc>
          <w:tcPr>
            <w:tcW w:w="3245" w:type="dxa"/>
            <w:tcBorders>
              <w:bottom w:val="nil"/>
            </w:tcBorders>
            <w:vAlign w:val="center"/>
          </w:tcPr>
          <w:p w:rsidR="00CB3495" w:rsidRPr="00A759A9" w:rsidRDefault="00CB3495" w:rsidP="00936426">
            <w:pPr>
              <w:spacing w:line="288" w:lineRule="auto"/>
              <w:ind w:right="77"/>
              <w:jc w:val="center"/>
              <w:rPr>
                <w:b/>
                <w:bCs/>
              </w:rPr>
            </w:pPr>
            <w:r w:rsidRPr="00A759A9">
              <w:rPr>
                <w:b/>
                <w:bCs/>
                <w:sz w:val="22"/>
                <w:szCs w:val="22"/>
              </w:rPr>
              <w:t>Kapasite Kullanım Oranı (KKO)</w:t>
            </w:r>
          </w:p>
        </w:tc>
        <w:tc>
          <w:tcPr>
            <w:tcW w:w="977" w:type="dxa"/>
            <w:tcBorders>
              <w:bottom w:val="nil"/>
            </w:tcBorders>
            <w:vAlign w:val="center"/>
          </w:tcPr>
          <w:p w:rsidR="00CB3495" w:rsidRPr="00A759A9" w:rsidRDefault="00CB3495" w:rsidP="00A759A9">
            <w:pPr>
              <w:spacing w:line="288" w:lineRule="auto"/>
              <w:ind w:right="77"/>
              <w:jc w:val="center"/>
              <w:rPr>
                <w:b/>
                <w:bCs/>
              </w:rPr>
            </w:pPr>
            <w:r>
              <w:rPr>
                <w:b/>
                <w:bCs/>
              </w:rPr>
              <w:t>-1.1</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-1.4</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0.1</w:t>
            </w:r>
          </w:p>
        </w:tc>
        <w:tc>
          <w:tcPr>
            <w:tcW w:w="978" w:type="dxa"/>
            <w:tcBorders>
              <w:bottom w:val="nil"/>
            </w:tcBorders>
            <w:vAlign w:val="center"/>
          </w:tcPr>
          <w:p w:rsidR="00CB3495" w:rsidRPr="00A759A9" w:rsidRDefault="00CB3495" w:rsidP="00A759A9">
            <w:pPr>
              <w:spacing w:line="288" w:lineRule="auto"/>
              <w:ind w:right="77"/>
              <w:jc w:val="center"/>
              <w:rPr>
                <w:b/>
                <w:bCs/>
              </w:rPr>
            </w:pPr>
            <w:r>
              <w:rPr>
                <w:b/>
                <w:bCs/>
              </w:rPr>
              <w:t>-0.2</w:t>
            </w: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rPr>
                <w:b/>
                <w:bCs/>
              </w:rPr>
            </w:pPr>
            <w:r>
              <w:rPr>
                <w:b/>
                <w:bCs/>
              </w:rPr>
              <w:t>-0.1</w:t>
            </w: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rPr>
                <w:b/>
                <w:bCs/>
              </w:rPr>
            </w:pPr>
            <w:r>
              <w:rPr>
                <w:b/>
                <w:bCs/>
              </w:rPr>
              <w:t>-2.5</w:t>
            </w:r>
          </w:p>
        </w:tc>
        <w:tc>
          <w:tcPr>
            <w:tcW w:w="988" w:type="dxa"/>
            <w:tcBorders>
              <w:bottom w:val="nil"/>
            </w:tcBorders>
            <w:vAlign w:val="center"/>
          </w:tcPr>
          <w:p w:rsidR="00CB3495" w:rsidRPr="00A759A9" w:rsidRDefault="00CB3495" w:rsidP="00A759A9">
            <w:pPr>
              <w:spacing w:line="288" w:lineRule="auto"/>
              <w:ind w:right="77"/>
              <w:jc w:val="center"/>
              <w:rPr>
                <w:b/>
                <w:bCs/>
              </w:rPr>
            </w:pPr>
            <w:r>
              <w:rPr>
                <w:b/>
                <w:bCs/>
              </w:rPr>
              <w:t>-1.8</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Dayanıksız tüketim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-0.3</w:t>
            </w:r>
          </w:p>
        </w:tc>
        <w:tc>
          <w:tcPr>
            <w:tcW w:w="978" w:type="dxa"/>
            <w:tcBorders>
              <w:top w:val="nil"/>
              <w:bottom w:val="nil"/>
            </w:tcBorders>
            <w:vAlign w:val="center"/>
          </w:tcPr>
          <w:p w:rsidR="00CB3495" w:rsidRPr="00A759A9" w:rsidRDefault="00CB3495" w:rsidP="00A759A9">
            <w:pPr>
              <w:spacing w:line="288" w:lineRule="auto"/>
              <w:ind w:right="77"/>
              <w:jc w:val="center"/>
            </w:pPr>
            <w:r>
              <w:t>0.0</w:t>
            </w:r>
          </w:p>
        </w:tc>
        <w:tc>
          <w:tcPr>
            <w:tcW w:w="978" w:type="dxa"/>
            <w:tcBorders>
              <w:top w:val="nil"/>
              <w:bottom w:val="nil"/>
            </w:tcBorders>
            <w:vAlign w:val="center"/>
          </w:tcPr>
          <w:p w:rsidR="00CB3495" w:rsidRPr="00A759A9" w:rsidRDefault="00CB3495" w:rsidP="00A759A9">
            <w:pPr>
              <w:spacing w:line="288" w:lineRule="auto"/>
              <w:ind w:right="77"/>
              <w:jc w:val="center"/>
            </w:pPr>
            <w:r>
              <w:t>0.1</w:t>
            </w:r>
          </w:p>
        </w:tc>
        <w:tc>
          <w:tcPr>
            <w:tcW w:w="978" w:type="dxa"/>
            <w:tcBorders>
              <w:top w:val="nil"/>
              <w:bottom w:val="nil"/>
            </w:tcBorders>
            <w:vAlign w:val="center"/>
          </w:tcPr>
          <w:p w:rsidR="00CB3495" w:rsidRPr="00A759A9" w:rsidRDefault="00CB3495" w:rsidP="00A759A9">
            <w:pPr>
              <w:spacing w:line="288" w:lineRule="auto"/>
              <w:ind w:right="77"/>
              <w:jc w:val="center"/>
            </w:pPr>
            <w:r>
              <w:t>-0.6</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0.1</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-0.5</w:t>
            </w:r>
          </w:p>
        </w:tc>
        <w:tc>
          <w:tcPr>
            <w:tcW w:w="988" w:type="dxa"/>
            <w:tcBorders>
              <w:top w:val="nil"/>
              <w:bottom w:val="nil"/>
            </w:tcBorders>
            <w:vAlign w:val="center"/>
          </w:tcPr>
          <w:p w:rsidR="00CB3495" w:rsidRPr="00A759A9" w:rsidRDefault="00CB3495" w:rsidP="00A759A9">
            <w:pPr>
              <w:spacing w:line="288" w:lineRule="auto"/>
              <w:ind w:right="77"/>
              <w:jc w:val="center"/>
            </w:pPr>
            <w:r>
              <w:t>-1.3</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Dayanıklı tüketim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-1.4</w:t>
            </w:r>
          </w:p>
        </w:tc>
        <w:tc>
          <w:tcPr>
            <w:tcW w:w="978" w:type="dxa"/>
            <w:tcBorders>
              <w:top w:val="nil"/>
              <w:bottom w:val="nil"/>
            </w:tcBorders>
            <w:vAlign w:val="center"/>
          </w:tcPr>
          <w:p w:rsidR="00CB3495" w:rsidRPr="00A759A9" w:rsidRDefault="00CB3495" w:rsidP="00A759A9">
            <w:pPr>
              <w:spacing w:line="288" w:lineRule="auto"/>
              <w:ind w:right="77"/>
              <w:jc w:val="center"/>
            </w:pPr>
            <w:r>
              <w:t>-0.9</w:t>
            </w:r>
          </w:p>
        </w:tc>
        <w:tc>
          <w:tcPr>
            <w:tcW w:w="978" w:type="dxa"/>
            <w:tcBorders>
              <w:top w:val="nil"/>
              <w:bottom w:val="nil"/>
            </w:tcBorders>
            <w:vAlign w:val="center"/>
          </w:tcPr>
          <w:p w:rsidR="00CB3495" w:rsidRPr="00A759A9" w:rsidRDefault="00CB3495" w:rsidP="00A759A9">
            <w:pPr>
              <w:spacing w:line="288" w:lineRule="auto"/>
              <w:ind w:right="77"/>
              <w:jc w:val="center"/>
            </w:pPr>
            <w:r>
              <w:t>0.2</w:t>
            </w:r>
          </w:p>
        </w:tc>
        <w:tc>
          <w:tcPr>
            <w:tcW w:w="978" w:type="dxa"/>
            <w:tcBorders>
              <w:top w:val="nil"/>
              <w:bottom w:val="nil"/>
            </w:tcBorders>
            <w:vAlign w:val="center"/>
          </w:tcPr>
          <w:p w:rsidR="00CB3495" w:rsidRPr="00A759A9" w:rsidRDefault="00CB3495" w:rsidP="00A759A9">
            <w:pPr>
              <w:spacing w:line="288" w:lineRule="auto"/>
              <w:ind w:right="77"/>
              <w:jc w:val="center"/>
            </w:pPr>
            <w:r>
              <w:t>-0.3</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0.4</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-0.2</w:t>
            </w:r>
          </w:p>
        </w:tc>
        <w:tc>
          <w:tcPr>
            <w:tcW w:w="988" w:type="dxa"/>
            <w:tcBorders>
              <w:top w:val="nil"/>
              <w:bottom w:val="nil"/>
            </w:tcBorders>
            <w:vAlign w:val="center"/>
          </w:tcPr>
          <w:p w:rsidR="00CB3495" w:rsidRPr="00A759A9" w:rsidRDefault="00CB3495" w:rsidP="00A759A9">
            <w:pPr>
              <w:spacing w:line="288" w:lineRule="auto"/>
              <w:ind w:right="77"/>
              <w:jc w:val="center"/>
            </w:pPr>
            <w:r>
              <w:t>-0.5</w:t>
            </w:r>
          </w:p>
        </w:tc>
      </w:tr>
      <w:tr w:rsidR="00CB3495" w:rsidRPr="00A759A9" w:rsidTr="00DA2477">
        <w:tc>
          <w:tcPr>
            <w:tcW w:w="3245" w:type="dxa"/>
            <w:tcBorders>
              <w:top w:val="nil"/>
              <w:bottom w:val="nil"/>
            </w:tcBorders>
            <w:vAlign w:val="center"/>
          </w:tcPr>
          <w:p w:rsidR="00CB3495" w:rsidRPr="00A759A9" w:rsidRDefault="00CB3495" w:rsidP="00936426">
            <w:pPr>
              <w:spacing w:line="288" w:lineRule="auto"/>
              <w:ind w:right="77"/>
              <w:jc w:val="center"/>
            </w:pPr>
            <w:r w:rsidRPr="00A759A9">
              <w:rPr>
                <w:sz w:val="22"/>
                <w:szCs w:val="22"/>
              </w:rPr>
              <w:t>Ara malı imalatı</w:t>
            </w:r>
          </w:p>
        </w:tc>
        <w:tc>
          <w:tcPr>
            <w:tcW w:w="977" w:type="dxa"/>
            <w:tcBorders>
              <w:top w:val="nil"/>
              <w:bottom w:val="nil"/>
            </w:tcBorders>
            <w:vAlign w:val="center"/>
          </w:tcPr>
          <w:p w:rsidR="00CB3495" w:rsidRPr="00A759A9" w:rsidRDefault="00CB3495" w:rsidP="00A759A9">
            <w:pPr>
              <w:spacing w:line="288" w:lineRule="auto"/>
              <w:ind w:right="77"/>
              <w:jc w:val="center"/>
            </w:pPr>
            <w:r>
              <w:t>-0.3</w:t>
            </w:r>
          </w:p>
        </w:tc>
        <w:tc>
          <w:tcPr>
            <w:tcW w:w="978" w:type="dxa"/>
            <w:tcBorders>
              <w:top w:val="nil"/>
              <w:bottom w:val="nil"/>
            </w:tcBorders>
            <w:vAlign w:val="center"/>
          </w:tcPr>
          <w:p w:rsidR="00CB3495" w:rsidRPr="00A759A9" w:rsidRDefault="00CB3495" w:rsidP="00A759A9">
            <w:pPr>
              <w:spacing w:line="288" w:lineRule="auto"/>
              <w:ind w:right="77"/>
              <w:jc w:val="center"/>
            </w:pPr>
            <w:r>
              <w:t>-0.6</w:t>
            </w:r>
          </w:p>
        </w:tc>
        <w:tc>
          <w:tcPr>
            <w:tcW w:w="978" w:type="dxa"/>
            <w:tcBorders>
              <w:top w:val="nil"/>
              <w:bottom w:val="nil"/>
            </w:tcBorders>
            <w:vAlign w:val="center"/>
          </w:tcPr>
          <w:p w:rsidR="00CB3495" w:rsidRPr="00A759A9" w:rsidRDefault="00CB3495" w:rsidP="00A759A9">
            <w:pPr>
              <w:spacing w:line="288" w:lineRule="auto"/>
              <w:ind w:right="77"/>
              <w:jc w:val="center"/>
            </w:pPr>
            <w:r>
              <w:t>0.3</w:t>
            </w:r>
          </w:p>
        </w:tc>
        <w:tc>
          <w:tcPr>
            <w:tcW w:w="978" w:type="dxa"/>
            <w:tcBorders>
              <w:top w:val="nil"/>
              <w:bottom w:val="nil"/>
            </w:tcBorders>
            <w:vAlign w:val="center"/>
          </w:tcPr>
          <w:p w:rsidR="00CB3495" w:rsidRPr="00A759A9" w:rsidRDefault="00CB3495" w:rsidP="00A759A9">
            <w:pPr>
              <w:spacing w:line="288" w:lineRule="auto"/>
              <w:ind w:right="77"/>
              <w:jc w:val="center"/>
            </w:pPr>
            <w:r>
              <w:t>-0.6</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-0.5</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-2.1</w:t>
            </w:r>
          </w:p>
        </w:tc>
        <w:tc>
          <w:tcPr>
            <w:tcW w:w="988" w:type="dxa"/>
            <w:tcBorders>
              <w:top w:val="nil"/>
              <w:bottom w:val="nil"/>
            </w:tcBorders>
            <w:vAlign w:val="center"/>
          </w:tcPr>
          <w:p w:rsidR="00CB3495" w:rsidRPr="00A759A9" w:rsidRDefault="00CB3495" w:rsidP="00A759A9">
            <w:pPr>
              <w:spacing w:line="288" w:lineRule="auto"/>
              <w:ind w:right="77"/>
              <w:jc w:val="center"/>
            </w:pPr>
            <w:r>
              <w:t>-1.0</w:t>
            </w:r>
          </w:p>
        </w:tc>
      </w:tr>
      <w:tr w:rsidR="00CB3495" w:rsidRPr="00A759A9" w:rsidTr="00DA2477">
        <w:tc>
          <w:tcPr>
            <w:tcW w:w="3245" w:type="dxa"/>
            <w:tcBorders>
              <w:top w:val="nil"/>
            </w:tcBorders>
            <w:vAlign w:val="center"/>
          </w:tcPr>
          <w:p w:rsidR="00CB3495" w:rsidRPr="00A759A9" w:rsidRDefault="00CB3495" w:rsidP="00936426">
            <w:pPr>
              <w:spacing w:line="288" w:lineRule="auto"/>
              <w:ind w:right="77"/>
              <w:jc w:val="center"/>
            </w:pPr>
            <w:r w:rsidRPr="00A759A9">
              <w:rPr>
                <w:sz w:val="22"/>
                <w:szCs w:val="22"/>
              </w:rPr>
              <w:t>Yatırım malı imalatı</w:t>
            </w:r>
          </w:p>
        </w:tc>
        <w:tc>
          <w:tcPr>
            <w:tcW w:w="977" w:type="dxa"/>
            <w:tcBorders>
              <w:top w:val="nil"/>
            </w:tcBorders>
            <w:vAlign w:val="center"/>
          </w:tcPr>
          <w:p w:rsidR="00CB3495" w:rsidRPr="00A759A9" w:rsidRDefault="00CB3495" w:rsidP="00A759A9">
            <w:pPr>
              <w:spacing w:line="288" w:lineRule="auto"/>
              <w:ind w:right="77"/>
              <w:jc w:val="center"/>
            </w:pPr>
            <w:r>
              <w:t>-0.7</w:t>
            </w:r>
          </w:p>
        </w:tc>
        <w:tc>
          <w:tcPr>
            <w:tcW w:w="978" w:type="dxa"/>
            <w:tcBorders>
              <w:top w:val="nil"/>
            </w:tcBorders>
            <w:vAlign w:val="center"/>
          </w:tcPr>
          <w:p w:rsidR="00CB3495" w:rsidRPr="00A759A9" w:rsidRDefault="00CB3495" w:rsidP="00A759A9">
            <w:pPr>
              <w:spacing w:line="288" w:lineRule="auto"/>
              <w:ind w:right="77"/>
              <w:jc w:val="center"/>
            </w:pPr>
            <w:r>
              <w:t>-1.4</w:t>
            </w:r>
          </w:p>
        </w:tc>
        <w:tc>
          <w:tcPr>
            <w:tcW w:w="978" w:type="dxa"/>
            <w:tcBorders>
              <w:top w:val="nil"/>
            </w:tcBorders>
            <w:vAlign w:val="center"/>
          </w:tcPr>
          <w:p w:rsidR="00CB3495" w:rsidRPr="00A759A9" w:rsidRDefault="00CB3495" w:rsidP="00A759A9">
            <w:pPr>
              <w:spacing w:line="288" w:lineRule="auto"/>
              <w:ind w:right="77"/>
              <w:jc w:val="center"/>
            </w:pPr>
            <w:r>
              <w:t>-0.6</w:t>
            </w:r>
          </w:p>
        </w:tc>
        <w:tc>
          <w:tcPr>
            <w:tcW w:w="978" w:type="dxa"/>
            <w:tcBorders>
              <w:top w:val="nil"/>
            </w:tcBorders>
            <w:vAlign w:val="center"/>
          </w:tcPr>
          <w:p w:rsidR="00CB3495" w:rsidRPr="00A759A9" w:rsidRDefault="00CB3495" w:rsidP="00A759A9">
            <w:pPr>
              <w:spacing w:line="288" w:lineRule="auto"/>
              <w:ind w:right="77"/>
              <w:jc w:val="center"/>
            </w:pPr>
            <w:r>
              <w:t>0.6</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-1.2</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-1.5</w:t>
            </w:r>
          </w:p>
        </w:tc>
        <w:tc>
          <w:tcPr>
            <w:tcW w:w="988" w:type="dxa"/>
            <w:tcBorders>
              <w:top w:val="nil"/>
            </w:tcBorders>
            <w:vAlign w:val="center"/>
          </w:tcPr>
          <w:p w:rsidR="00CB3495" w:rsidRPr="00A759A9" w:rsidRDefault="00CB3495" w:rsidP="00A759A9">
            <w:pPr>
              <w:spacing w:line="288" w:lineRule="auto"/>
              <w:ind w:right="77"/>
              <w:jc w:val="center"/>
            </w:pPr>
            <w:r>
              <w:t>-2.5</w:t>
            </w:r>
          </w:p>
        </w:tc>
      </w:tr>
      <w:tr w:rsidR="00CB3495" w:rsidRPr="00A759A9" w:rsidTr="00DA2477">
        <w:tc>
          <w:tcPr>
            <w:tcW w:w="3245" w:type="dxa"/>
            <w:tcBorders>
              <w:bottom w:val="nil"/>
            </w:tcBorders>
            <w:vAlign w:val="center"/>
          </w:tcPr>
          <w:p w:rsidR="00CB3495" w:rsidRPr="00B25C94" w:rsidRDefault="00CB3495" w:rsidP="00A759A9">
            <w:pPr>
              <w:spacing w:line="288" w:lineRule="auto"/>
              <w:ind w:right="77"/>
              <w:jc w:val="center"/>
              <w:rPr>
                <w:b/>
                <w:bCs/>
              </w:rPr>
            </w:pPr>
            <w:r w:rsidRPr="00B25C94">
              <w:rPr>
                <w:b/>
                <w:bCs/>
                <w:sz w:val="22"/>
                <w:szCs w:val="22"/>
              </w:rPr>
              <w:t>İmalat Sipariş Endeksi</w:t>
            </w:r>
          </w:p>
        </w:tc>
        <w:tc>
          <w:tcPr>
            <w:tcW w:w="977" w:type="dxa"/>
            <w:tcBorders>
              <w:bottom w:val="nil"/>
            </w:tcBorders>
            <w:vAlign w:val="center"/>
          </w:tcPr>
          <w:p w:rsidR="00CB3495" w:rsidRPr="00B25C94" w:rsidRDefault="00CB3495" w:rsidP="00E23E58">
            <w:pPr>
              <w:spacing w:line="288" w:lineRule="auto"/>
              <w:ind w:right="77"/>
              <w:jc w:val="center"/>
              <w:rPr>
                <w:b/>
                <w:bCs/>
              </w:rPr>
            </w:pPr>
            <w:r>
              <w:rPr>
                <w:b/>
                <w:bCs/>
              </w:rPr>
              <w:t>5.9</w:t>
            </w:r>
          </w:p>
        </w:tc>
        <w:tc>
          <w:tcPr>
            <w:tcW w:w="978" w:type="dxa"/>
            <w:tcBorders>
              <w:bottom w:val="nil"/>
            </w:tcBorders>
            <w:vAlign w:val="center"/>
          </w:tcPr>
          <w:p w:rsidR="00CB3495" w:rsidRPr="00B25C94" w:rsidRDefault="00CB3495" w:rsidP="00E23E58">
            <w:pPr>
              <w:spacing w:line="288" w:lineRule="auto"/>
              <w:ind w:right="77"/>
              <w:jc w:val="center"/>
              <w:rPr>
                <w:b/>
                <w:bCs/>
              </w:rPr>
            </w:pPr>
            <w:r>
              <w:rPr>
                <w:b/>
                <w:bCs/>
              </w:rPr>
              <w:t>-4.7</w:t>
            </w:r>
          </w:p>
        </w:tc>
        <w:tc>
          <w:tcPr>
            <w:tcW w:w="978" w:type="dxa"/>
            <w:tcBorders>
              <w:bottom w:val="nil"/>
            </w:tcBorders>
            <w:vAlign w:val="center"/>
          </w:tcPr>
          <w:p w:rsidR="00CB3495" w:rsidRPr="00B25C94" w:rsidRDefault="00CB3495" w:rsidP="00E23E58">
            <w:pPr>
              <w:spacing w:line="288" w:lineRule="auto"/>
              <w:ind w:right="77"/>
              <w:jc w:val="center"/>
              <w:rPr>
                <w:b/>
                <w:bCs/>
              </w:rPr>
            </w:pPr>
            <w:r>
              <w:rPr>
                <w:b/>
                <w:bCs/>
              </w:rPr>
              <w:t>-3.3</w:t>
            </w:r>
          </w:p>
        </w:tc>
        <w:tc>
          <w:tcPr>
            <w:tcW w:w="978" w:type="dxa"/>
            <w:tcBorders>
              <w:bottom w:val="nil"/>
            </w:tcBorders>
            <w:vAlign w:val="center"/>
          </w:tcPr>
          <w:p w:rsidR="00CB3495" w:rsidRPr="00B25C94" w:rsidRDefault="00CB3495" w:rsidP="00A759A9">
            <w:pPr>
              <w:spacing w:line="288" w:lineRule="auto"/>
              <w:ind w:right="77"/>
              <w:jc w:val="center"/>
              <w:rPr>
                <w:b/>
                <w:bCs/>
              </w:rPr>
            </w:pPr>
            <w:r>
              <w:rPr>
                <w:b/>
                <w:bCs/>
              </w:rPr>
              <w:t>**</w:t>
            </w:r>
          </w:p>
        </w:tc>
        <w:tc>
          <w:tcPr>
            <w:tcW w:w="978" w:type="dxa"/>
            <w:tcBorders>
              <w:bottom w:val="nil"/>
              <w:right w:val="double" w:sz="4" w:space="0" w:color="auto"/>
            </w:tcBorders>
            <w:tcMar>
              <w:left w:w="57" w:type="dxa"/>
              <w:right w:w="170" w:type="dxa"/>
            </w:tcMar>
            <w:vAlign w:val="center"/>
          </w:tcPr>
          <w:p w:rsidR="00CB3495" w:rsidRPr="00B25C94" w:rsidRDefault="00CB3495" w:rsidP="00A759A9">
            <w:pPr>
              <w:spacing w:line="288" w:lineRule="auto"/>
              <w:ind w:right="77"/>
              <w:jc w:val="center"/>
              <w:rPr>
                <w:b/>
                <w:bCs/>
              </w:rPr>
            </w:pPr>
            <w:r>
              <w:rPr>
                <w:b/>
                <w:bCs/>
              </w:rPr>
              <w:t>**</w:t>
            </w:r>
          </w:p>
        </w:tc>
        <w:tc>
          <w:tcPr>
            <w:tcW w:w="987" w:type="dxa"/>
            <w:tcBorders>
              <w:left w:val="double" w:sz="4" w:space="0" w:color="auto"/>
              <w:bottom w:val="nil"/>
            </w:tcBorders>
            <w:vAlign w:val="center"/>
          </w:tcPr>
          <w:p w:rsidR="00CB3495" w:rsidRPr="00B25C94" w:rsidRDefault="00CB3495" w:rsidP="004E1AE2">
            <w:pPr>
              <w:spacing w:line="288" w:lineRule="auto"/>
              <w:ind w:right="77"/>
              <w:jc w:val="center"/>
              <w:rPr>
                <w:b/>
                <w:bCs/>
              </w:rPr>
            </w:pPr>
            <w:r>
              <w:rPr>
                <w:b/>
                <w:bCs/>
              </w:rPr>
              <w:t>3.0</w:t>
            </w:r>
          </w:p>
        </w:tc>
        <w:tc>
          <w:tcPr>
            <w:tcW w:w="988" w:type="dxa"/>
            <w:tcBorders>
              <w:bottom w:val="nil"/>
            </w:tcBorders>
            <w:vAlign w:val="center"/>
          </w:tcPr>
          <w:p w:rsidR="00CB3495" w:rsidRPr="00B25C94" w:rsidRDefault="00CB3495" w:rsidP="00E23E58">
            <w:pPr>
              <w:spacing w:line="288" w:lineRule="auto"/>
              <w:ind w:right="77"/>
              <w:jc w:val="center"/>
              <w:rPr>
                <w:b/>
                <w:bCs/>
              </w:rPr>
            </w:pPr>
            <w:r>
              <w:rPr>
                <w:b/>
                <w:bCs/>
              </w:rPr>
              <w:t>-4.5</w:t>
            </w:r>
          </w:p>
        </w:tc>
      </w:tr>
      <w:tr w:rsidR="00CB3495" w:rsidRPr="00A759A9" w:rsidTr="00DA2477">
        <w:tc>
          <w:tcPr>
            <w:tcW w:w="3245" w:type="dxa"/>
            <w:tcBorders>
              <w:top w:val="nil"/>
              <w:bottom w:val="nil"/>
            </w:tcBorders>
            <w:vAlign w:val="center"/>
          </w:tcPr>
          <w:p w:rsidR="00CB3495" w:rsidRPr="00B03004" w:rsidRDefault="00CB3495" w:rsidP="00A759A9">
            <w:pPr>
              <w:spacing w:line="288" w:lineRule="auto"/>
              <w:ind w:right="77"/>
              <w:jc w:val="center"/>
            </w:pPr>
            <w:r w:rsidRPr="00B03004">
              <w:rPr>
                <w:sz w:val="22"/>
                <w:szCs w:val="22"/>
              </w:rPr>
              <w:t>Yu</w:t>
            </w:r>
            <w:r>
              <w:rPr>
                <w:sz w:val="22"/>
                <w:szCs w:val="22"/>
              </w:rPr>
              <w:t>rtiçi İmalat Sipariş</w:t>
            </w:r>
          </w:p>
        </w:tc>
        <w:tc>
          <w:tcPr>
            <w:tcW w:w="977" w:type="dxa"/>
            <w:tcBorders>
              <w:top w:val="nil"/>
              <w:bottom w:val="nil"/>
            </w:tcBorders>
            <w:vAlign w:val="center"/>
          </w:tcPr>
          <w:p w:rsidR="00CB3495" w:rsidRPr="00A759A9" w:rsidRDefault="00CB3495" w:rsidP="00E23E58">
            <w:pPr>
              <w:spacing w:line="288" w:lineRule="auto"/>
              <w:ind w:right="77"/>
              <w:jc w:val="center"/>
            </w:pPr>
            <w:r>
              <w:t>1.8</w:t>
            </w:r>
          </w:p>
        </w:tc>
        <w:tc>
          <w:tcPr>
            <w:tcW w:w="978" w:type="dxa"/>
            <w:tcBorders>
              <w:top w:val="nil"/>
              <w:bottom w:val="nil"/>
            </w:tcBorders>
            <w:vAlign w:val="center"/>
          </w:tcPr>
          <w:p w:rsidR="00CB3495" w:rsidRPr="00A759A9" w:rsidRDefault="00CB3495" w:rsidP="00E23E58">
            <w:pPr>
              <w:spacing w:line="288" w:lineRule="auto"/>
              <w:ind w:right="77"/>
              <w:jc w:val="center"/>
            </w:pPr>
            <w:r>
              <w:t>-5.1</w:t>
            </w:r>
          </w:p>
        </w:tc>
        <w:tc>
          <w:tcPr>
            <w:tcW w:w="978" w:type="dxa"/>
            <w:tcBorders>
              <w:top w:val="nil"/>
              <w:bottom w:val="nil"/>
            </w:tcBorders>
            <w:vAlign w:val="center"/>
          </w:tcPr>
          <w:p w:rsidR="00CB3495" w:rsidRPr="00A759A9" w:rsidRDefault="00CB3495" w:rsidP="00E23E58">
            <w:pPr>
              <w:spacing w:line="288" w:lineRule="auto"/>
              <w:ind w:right="77"/>
              <w:jc w:val="center"/>
            </w:pPr>
            <w:r>
              <w:t>0.9</w:t>
            </w:r>
          </w:p>
        </w:tc>
        <w:tc>
          <w:tcPr>
            <w:tcW w:w="978" w:type="dxa"/>
            <w:tcBorders>
              <w:top w:val="nil"/>
              <w:bottom w:val="nil"/>
            </w:tcBorders>
            <w:vAlign w:val="center"/>
          </w:tcPr>
          <w:p w:rsidR="00CB3495" w:rsidRPr="00A759A9" w:rsidRDefault="00CB3495" w:rsidP="00A759A9">
            <w:pPr>
              <w:spacing w:line="288" w:lineRule="auto"/>
              <w:ind w:right="77"/>
              <w:jc w:val="center"/>
            </w:pPr>
            <w:r>
              <w:t>**</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4E1AE2">
            <w:pPr>
              <w:spacing w:line="288" w:lineRule="auto"/>
              <w:ind w:right="77"/>
              <w:jc w:val="center"/>
            </w:pPr>
            <w:r>
              <w:t>1.6</w:t>
            </w:r>
          </w:p>
        </w:tc>
        <w:tc>
          <w:tcPr>
            <w:tcW w:w="988" w:type="dxa"/>
            <w:tcBorders>
              <w:top w:val="nil"/>
              <w:bottom w:val="nil"/>
            </w:tcBorders>
            <w:vAlign w:val="center"/>
          </w:tcPr>
          <w:p w:rsidR="00CB3495" w:rsidRPr="00A759A9" w:rsidRDefault="00CB3495" w:rsidP="00E23E58">
            <w:pPr>
              <w:spacing w:line="288" w:lineRule="auto"/>
              <w:ind w:right="77"/>
              <w:jc w:val="center"/>
            </w:pPr>
            <w:r>
              <w:t>-2.0</w:t>
            </w:r>
          </w:p>
        </w:tc>
      </w:tr>
      <w:tr w:rsidR="00CB3495" w:rsidRPr="00A759A9" w:rsidTr="00DA2477">
        <w:tc>
          <w:tcPr>
            <w:tcW w:w="3245" w:type="dxa"/>
            <w:tcBorders>
              <w:top w:val="nil"/>
            </w:tcBorders>
            <w:vAlign w:val="center"/>
          </w:tcPr>
          <w:p w:rsidR="00CB3495" w:rsidRPr="00B03004" w:rsidRDefault="00CB3495" w:rsidP="00A759A9">
            <w:pPr>
              <w:spacing w:line="288" w:lineRule="auto"/>
              <w:ind w:right="77"/>
              <w:jc w:val="center"/>
            </w:pPr>
            <w:r w:rsidRPr="00B03004">
              <w:rPr>
                <w:sz w:val="22"/>
                <w:szCs w:val="22"/>
              </w:rPr>
              <w:t>Yurtdışı</w:t>
            </w:r>
            <w:r>
              <w:rPr>
                <w:sz w:val="22"/>
                <w:szCs w:val="22"/>
              </w:rPr>
              <w:t xml:space="preserve"> İmalat</w:t>
            </w:r>
            <w:r w:rsidRPr="00B03004">
              <w:rPr>
                <w:sz w:val="22"/>
                <w:szCs w:val="22"/>
              </w:rPr>
              <w:t xml:space="preserve"> Sipariş</w:t>
            </w:r>
          </w:p>
        </w:tc>
        <w:tc>
          <w:tcPr>
            <w:tcW w:w="977" w:type="dxa"/>
            <w:tcBorders>
              <w:top w:val="nil"/>
            </w:tcBorders>
            <w:vAlign w:val="center"/>
          </w:tcPr>
          <w:p w:rsidR="00CB3495" w:rsidRPr="00A759A9" w:rsidRDefault="00CB3495" w:rsidP="00E23E58">
            <w:pPr>
              <w:spacing w:line="288" w:lineRule="auto"/>
              <w:ind w:right="77"/>
              <w:jc w:val="center"/>
            </w:pPr>
            <w:r>
              <w:t>10.2</w:t>
            </w:r>
          </w:p>
        </w:tc>
        <w:tc>
          <w:tcPr>
            <w:tcW w:w="978" w:type="dxa"/>
            <w:tcBorders>
              <w:top w:val="nil"/>
            </w:tcBorders>
            <w:vAlign w:val="center"/>
          </w:tcPr>
          <w:p w:rsidR="00CB3495" w:rsidRPr="00A759A9" w:rsidRDefault="00CB3495" w:rsidP="00E23E58">
            <w:pPr>
              <w:spacing w:line="288" w:lineRule="auto"/>
              <w:ind w:right="77"/>
              <w:jc w:val="center"/>
            </w:pPr>
            <w:r>
              <w:t>-3.8</w:t>
            </w:r>
          </w:p>
        </w:tc>
        <w:tc>
          <w:tcPr>
            <w:tcW w:w="978" w:type="dxa"/>
            <w:tcBorders>
              <w:top w:val="nil"/>
            </w:tcBorders>
            <w:vAlign w:val="center"/>
          </w:tcPr>
          <w:p w:rsidR="00CB3495" w:rsidRPr="00A759A9" w:rsidRDefault="00CB3495" w:rsidP="00E23E58">
            <w:pPr>
              <w:spacing w:line="288" w:lineRule="auto"/>
              <w:ind w:right="77"/>
              <w:jc w:val="center"/>
            </w:pPr>
            <w:r>
              <w:t>-7.9</w:t>
            </w:r>
          </w:p>
        </w:tc>
        <w:tc>
          <w:tcPr>
            <w:tcW w:w="978" w:type="dxa"/>
            <w:tcBorders>
              <w:top w:val="nil"/>
            </w:tcBorders>
            <w:vAlign w:val="center"/>
          </w:tcPr>
          <w:p w:rsidR="00CB3495" w:rsidRPr="00A759A9" w:rsidRDefault="00CB3495" w:rsidP="00A759A9">
            <w:pPr>
              <w:spacing w:line="288" w:lineRule="auto"/>
              <w:ind w:right="77"/>
              <w:jc w:val="center"/>
            </w:pPr>
            <w:r>
              <w:t>**</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tcBorders>
            <w:vAlign w:val="center"/>
          </w:tcPr>
          <w:p w:rsidR="00CB3495" w:rsidRPr="00A759A9" w:rsidRDefault="00CB3495" w:rsidP="00901532">
            <w:pPr>
              <w:spacing w:line="288" w:lineRule="auto"/>
              <w:ind w:right="77"/>
              <w:jc w:val="center"/>
            </w:pPr>
            <w:r>
              <w:t>4.7</w:t>
            </w:r>
          </w:p>
        </w:tc>
        <w:tc>
          <w:tcPr>
            <w:tcW w:w="988" w:type="dxa"/>
            <w:tcBorders>
              <w:top w:val="nil"/>
            </w:tcBorders>
            <w:vAlign w:val="center"/>
          </w:tcPr>
          <w:p w:rsidR="00CB3495" w:rsidRPr="00A759A9" w:rsidRDefault="00CB3495" w:rsidP="00901532">
            <w:pPr>
              <w:spacing w:line="288" w:lineRule="auto"/>
              <w:ind w:right="77"/>
              <w:jc w:val="center"/>
            </w:pPr>
            <w:r>
              <w:t>-7.4</w:t>
            </w:r>
          </w:p>
        </w:tc>
      </w:tr>
      <w:tr w:rsidR="00CB3495" w:rsidRPr="00A759A9" w:rsidTr="00DA2477">
        <w:tc>
          <w:tcPr>
            <w:tcW w:w="3245" w:type="dxa"/>
            <w:tcBorders>
              <w:bottom w:val="nil"/>
            </w:tcBorders>
            <w:vAlign w:val="center"/>
          </w:tcPr>
          <w:p w:rsidR="00CB3495" w:rsidRPr="00A759A9" w:rsidRDefault="00CB3495" w:rsidP="00A759A9">
            <w:pPr>
              <w:spacing w:line="288" w:lineRule="auto"/>
              <w:ind w:right="77"/>
              <w:jc w:val="center"/>
              <w:rPr>
                <w:b/>
                <w:bCs/>
              </w:rPr>
            </w:pPr>
            <w:r w:rsidRPr="00A759A9">
              <w:rPr>
                <w:b/>
                <w:bCs/>
                <w:sz w:val="22"/>
                <w:szCs w:val="22"/>
              </w:rPr>
              <w:t>Beklenti Göstergeleri</w:t>
            </w:r>
          </w:p>
        </w:tc>
        <w:tc>
          <w:tcPr>
            <w:tcW w:w="977"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pPr>
          </w:p>
        </w:tc>
        <w:tc>
          <w:tcPr>
            <w:tcW w:w="988" w:type="dxa"/>
            <w:tcBorders>
              <w:bottom w:val="nil"/>
            </w:tcBorders>
            <w:vAlign w:val="center"/>
          </w:tcPr>
          <w:p w:rsidR="00CB3495" w:rsidRPr="00A759A9" w:rsidRDefault="00CB3495" w:rsidP="00A759A9">
            <w:pPr>
              <w:spacing w:line="288" w:lineRule="auto"/>
              <w:ind w:right="77"/>
              <w:jc w:val="center"/>
            </w:pPr>
          </w:p>
        </w:tc>
      </w:tr>
      <w:tr w:rsidR="00CB3495" w:rsidRPr="00A759A9" w:rsidTr="00DA2477">
        <w:tc>
          <w:tcPr>
            <w:tcW w:w="3245" w:type="dxa"/>
            <w:tcBorders>
              <w:top w:val="nil"/>
              <w:bottom w:val="nil"/>
            </w:tcBorders>
            <w:vAlign w:val="center"/>
          </w:tcPr>
          <w:p w:rsidR="00CB3495" w:rsidRPr="00A759A9" w:rsidRDefault="00CB3495" w:rsidP="00A759A9">
            <w:pPr>
              <w:spacing w:line="288" w:lineRule="auto"/>
              <w:ind w:right="77"/>
              <w:jc w:val="center"/>
            </w:pPr>
            <w:r w:rsidRPr="00A759A9">
              <w:rPr>
                <w:sz w:val="22"/>
                <w:szCs w:val="22"/>
              </w:rPr>
              <w:t>Tüketici Güven E. (TUIK)</w:t>
            </w:r>
          </w:p>
        </w:tc>
        <w:tc>
          <w:tcPr>
            <w:tcW w:w="977" w:type="dxa"/>
            <w:tcBorders>
              <w:top w:val="nil"/>
              <w:bottom w:val="nil"/>
            </w:tcBorders>
            <w:vAlign w:val="center"/>
          </w:tcPr>
          <w:p w:rsidR="00CB3495" w:rsidRPr="00A759A9" w:rsidRDefault="00CB3495" w:rsidP="00A759A9">
            <w:pPr>
              <w:spacing w:line="288" w:lineRule="auto"/>
              <w:ind w:right="77"/>
              <w:jc w:val="center"/>
            </w:pPr>
            <w:r>
              <w:t>0.9</w:t>
            </w:r>
          </w:p>
        </w:tc>
        <w:tc>
          <w:tcPr>
            <w:tcW w:w="978" w:type="dxa"/>
            <w:tcBorders>
              <w:top w:val="nil"/>
              <w:bottom w:val="nil"/>
            </w:tcBorders>
            <w:vAlign w:val="center"/>
          </w:tcPr>
          <w:p w:rsidR="00CB3495" w:rsidRPr="00A759A9" w:rsidRDefault="00CB3495" w:rsidP="00A759A9">
            <w:pPr>
              <w:spacing w:line="288" w:lineRule="auto"/>
              <w:ind w:right="77"/>
              <w:jc w:val="center"/>
            </w:pPr>
            <w:r>
              <w:t>-0.4</w:t>
            </w:r>
          </w:p>
        </w:tc>
        <w:tc>
          <w:tcPr>
            <w:tcW w:w="978" w:type="dxa"/>
            <w:tcBorders>
              <w:top w:val="nil"/>
              <w:bottom w:val="nil"/>
            </w:tcBorders>
            <w:vAlign w:val="center"/>
          </w:tcPr>
          <w:p w:rsidR="00CB3495" w:rsidRPr="00A759A9" w:rsidRDefault="00CB3495" w:rsidP="00A759A9">
            <w:pPr>
              <w:spacing w:line="288" w:lineRule="auto"/>
              <w:ind w:right="77"/>
              <w:jc w:val="center"/>
            </w:pPr>
            <w:r>
              <w:t>1.3</w:t>
            </w:r>
          </w:p>
        </w:tc>
        <w:tc>
          <w:tcPr>
            <w:tcW w:w="978" w:type="dxa"/>
            <w:tcBorders>
              <w:top w:val="nil"/>
              <w:bottom w:val="nil"/>
            </w:tcBorders>
            <w:vAlign w:val="center"/>
          </w:tcPr>
          <w:p w:rsidR="00CB3495" w:rsidRPr="00A759A9" w:rsidRDefault="00CB3495" w:rsidP="00A759A9">
            <w:pPr>
              <w:spacing w:line="288" w:lineRule="auto"/>
              <w:ind w:right="77"/>
              <w:jc w:val="center"/>
            </w:pPr>
            <w:r>
              <w:t>-1.4</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-2.2</w:t>
            </w:r>
          </w:p>
        </w:tc>
        <w:tc>
          <w:tcPr>
            <w:tcW w:w="988" w:type="dxa"/>
            <w:tcBorders>
              <w:top w:val="nil"/>
              <w:bottom w:val="nil"/>
            </w:tcBorders>
            <w:vAlign w:val="center"/>
          </w:tcPr>
          <w:p w:rsidR="00CB3495" w:rsidRPr="00A759A9" w:rsidRDefault="00CB3495" w:rsidP="00A759A9">
            <w:pPr>
              <w:spacing w:line="288" w:lineRule="auto"/>
              <w:ind w:right="77"/>
              <w:jc w:val="center"/>
            </w:pPr>
            <w:r>
              <w:t>0.6</w:t>
            </w:r>
          </w:p>
        </w:tc>
      </w:tr>
      <w:tr w:rsidR="00CB3495" w:rsidRPr="00A759A9" w:rsidTr="00DA2477">
        <w:tc>
          <w:tcPr>
            <w:tcW w:w="3245" w:type="dxa"/>
            <w:tcBorders>
              <w:top w:val="nil"/>
            </w:tcBorders>
            <w:vAlign w:val="center"/>
          </w:tcPr>
          <w:p w:rsidR="00CB3495" w:rsidRPr="00A759A9" w:rsidRDefault="00CB3495" w:rsidP="00A759A9">
            <w:pPr>
              <w:spacing w:line="288" w:lineRule="auto"/>
              <w:ind w:right="77"/>
              <w:jc w:val="center"/>
            </w:pPr>
            <w:r w:rsidRPr="00A759A9">
              <w:rPr>
                <w:sz w:val="22"/>
                <w:szCs w:val="22"/>
              </w:rPr>
              <w:t>Reel Kesim Güven E.</w:t>
            </w:r>
          </w:p>
        </w:tc>
        <w:tc>
          <w:tcPr>
            <w:tcW w:w="977" w:type="dxa"/>
            <w:tcBorders>
              <w:top w:val="nil"/>
            </w:tcBorders>
            <w:vAlign w:val="center"/>
          </w:tcPr>
          <w:p w:rsidR="00CB3495" w:rsidRPr="00A759A9" w:rsidRDefault="00CB3495" w:rsidP="00A759A9">
            <w:pPr>
              <w:spacing w:line="288" w:lineRule="auto"/>
              <w:ind w:right="77"/>
              <w:jc w:val="center"/>
            </w:pPr>
            <w:r>
              <w:t>-1.8</w:t>
            </w:r>
          </w:p>
        </w:tc>
        <w:tc>
          <w:tcPr>
            <w:tcW w:w="978" w:type="dxa"/>
            <w:tcBorders>
              <w:top w:val="nil"/>
            </w:tcBorders>
            <w:vAlign w:val="center"/>
          </w:tcPr>
          <w:p w:rsidR="00CB3495" w:rsidRPr="00A759A9" w:rsidRDefault="00CB3495" w:rsidP="00A759A9">
            <w:pPr>
              <w:spacing w:line="288" w:lineRule="auto"/>
              <w:ind w:right="77"/>
              <w:jc w:val="center"/>
            </w:pPr>
            <w:r>
              <w:t>-3.4</w:t>
            </w:r>
          </w:p>
        </w:tc>
        <w:tc>
          <w:tcPr>
            <w:tcW w:w="978" w:type="dxa"/>
            <w:tcBorders>
              <w:top w:val="nil"/>
            </w:tcBorders>
            <w:vAlign w:val="center"/>
          </w:tcPr>
          <w:p w:rsidR="00CB3495" w:rsidRPr="00A759A9" w:rsidRDefault="00CB3495" w:rsidP="00A759A9">
            <w:pPr>
              <w:spacing w:line="288" w:lineRule="auto"/>
              <w:ind w:right="77"/>
              <w:jc w:val="center"/>
            </w:pPr>
            <w:r>
              <w:t>-0.5</w:t>
            </w:r>
          </w:p>
        </w:tc>
        <w:tc>
          <w:tcPr>
            <w:tcW w:w="978" w:type="dxa"/>
            <w:tcBorders>
              <w:top w:val="nil"/>
            </w:tcBorders>
            <w:vAlign w:val="center"/>
          </w:tcPr>
          <w:p w:rsidR="00CB3495" w:rsidRPr="00A759A9" w:rsidRDefault="00CB3495" w:rsidP="00A759A9">
            <w:pPr>
              <w:spacing w:line="288" w:lineRule="auto"/>
              <w:ind w:right="77"/>
              <w:jc w:val="center"/>
            </w:pPr>
            <w:r>
              <w:t>-1.4</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0.9</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-0.6</w:t>
            </w:r>
          </w:p>
        </w:tc>
        <w:tc>
          <w:tcPr>
            <w:tcW w:w="988" w:type="dxa"/>
            <w:tcBorders>
              <w:top w:val="nil"/>
            </w:tcBorders>
            <w:vAlign w:val="center"/>
          </w:tcPr>
          <w:p w:rsidR="00CB3495" w:rsidRPr="00A759A9" w:rsidRDefault="00CB3495" w:rsidP="00A759A9">
            <w:pPr>
              <w:spacing w:line="288" w:lineRule="auto"/>
              <w:ind w:right="77"/>
              <w:jc w:val="center"/>
            </w:pPr>
            <w:r>
              <w:t>-4.0</w:t>
            </w:r>
          </w:p>
        </w:tc>
      </w:tr>
      <w:tr w:rsidR="00CB3495" w:rsidRPr="00A759A9" w:rsidTr="00DA2477">
        <w:tc>
          <w:tcPr>
            <w:tcW w:w="3245" w:type="dxa"/>
            <w:tcBorders>
              <w:bottom w:val="nil"/>
            </w:tcBorders>
            <w:vAlign w:val="center"/>
          </w:tcPr>
          <w:p w:rsidR="00CB3495" w:rsidRPr="00A759A9" w:rsidRDefault="00CB3495" w:rsidP="00A759A9">
            <w:pPr>
              <w:spacing w:line="288" w:lineRule="auto"/>
              <w:ind w:right="77"/>
              <w:jc w:val="center"/>
              <w:rPr>
                <w:b/>
                <w:bCs/>
              </w:rPr>
            </w:pPr>
            <w:r w:rsidRPr="00A759A9">
              <w:rPr>
                <w:b/>
                <w:bCs/>
                <w:sz w:val="22"/>
                <w:szCs w:val="22"/>
              </w:rPr>
              <w:t>Finansal Göstergeler</w:t>
            </w:r>
          </w:p>
        </w:tc>
        <w:tc>
          <w:tcPr>
            <w:tcW w:w="977"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pPr>
          </w:p>
        </w:tc>
        <w:tc>
          <w:tcPr>
            <w:tcW w:w="988" w:type="dxa"/>
            <w:tcBorders>
              <w:bottom w:val="nil"/>
            </w:tcBorders>
            <w:vAlign w:val="center"/>
          </w:tcPr>
          <w:p w:rsidR="00CB3495" w:rsidRPr="00A759A9" w:rsidRDefault="00CB3495" w:rsidP="00A759A9">
            <w:pPr>
              <w:spacing w:line="288" w:lineRule="auto"/>
              <w:ind w:right="77"/>
              <w:jc w:val="center"/>
            </w:pPr>
          </w:p>
        </w:tc>
      </w:tr>
      <w:tr w:rsidR="00CB3495" w:rsidRPr="00A759A9" w:rsidTr="00DA2477">
        <w:tc>
          <w:tcPr>
            <w:tcW w:w="3245" w:type="dxa"/>
            <w:tcBorders>
              <w:top w:val="nil"/>
            </w:tcBorders>
            <w:vAlign w:val="center"/>
          </w:tcPr>
          <w:p w:rsidR="00CB3495" w:rsidRPr="00A759A9" w:rsidRDefault="00CB3495" w:rsidP="00A759A9">
            <w:pPr>
              <w:spacing w:line="288" w:lineRule="auto"/>
              <w:ind w:right="77"/>
              <w:jc w:val="center"/>
            </w:pPr>
            <w:r w:rsidRPr="00A759A9">
              <w:rPr>
                <w:sz w:val="22"/>
                <w:szCs w:val="22"/>
              </w:rPr>
              <w:t>İMKB 100</w:t>
            </w:r>
          </w:p>
        </w:tc>
        <w:tc>
          <w:tcPr>
            <w:tcW w:w="977" w:type="dxa"/>
            <w:tcBorders>
              <w:top w:val="nil"/>
            </w:tcBorders>
            <w:vAlign w:val="center"/>
          </w:tcPr>
          <w:p w:rsidR="00CB3495" w:rsidRPr="00A759A9" w:rsidRDefault="00CB3495" w:rsidP="00A759A9">
            <w:pPr>
              <w:spacing w:line="288" w:lineRule="auto"/>
              <w:ind w:right="77"/>
              <w:jc w:val="center"/>
            </w:pPr>
            <w:r>
              <w:t>-2.5</w:t>
            </w:r>
          </w:p>
        </w:tc>
        <w:tc>
          <w:tcPr>
            <w:tcW w:w="978" w:type="dxa"/>
            <w:tcBorders>
              <w:top w:val="nil"/>
            </w:tcBorders>
            <w:vAlign w:val="center"/>
          </w:tcPr>
          <w:p w:rsidR="00CB3495" w:rsidRPr="00A759A9" w:rsidRDefault="00CB3495" w:rsidP="00A759A9">
            <w:pPr>
              <w:spacing w:line="288" w:lineRule="auto"/>
              <w:ind w:right="77"/>
              <w:jc w:val="center"/>
            </w:pPr>
            <w:r>
              <w:t>5.1</w:t>
            </w:r>
          </w:p>
        </w:tc>
        <w:tc>
          <w:tcPr>
            <w:tcW w:w="978" w:type="dxa"/>
            <w:tcBorders>
              <w:top w:val="nil"/>
            </w:tcBorders>
            <w:vAlign w:val="center"/>
          </w:tcPr>
          <w:p w:rsidR="00CB3495" w:rsidRPr="00A759A9" w:rsidRDefault="00CB3495" w:rsidP="00A759A9">
            <w:pPr>
              <w:spacing w:line="288" w:lineRule="auto"/>
              <w:ind w:right="77"/>
              <w:jc w:val="center"/>
            </w:pPr>
            <w:r>
              <w:t>3.2</w:t>
            </w:r>
          </w:p>
        </w:tc>
        <w:tc>
          <w:tcPr>
            <w:tcW w:w="978" w:type="dxa"/>
            <w:tcBorders>
              <w:top w:val="nil"/>
            </w:tcBorders>
            <w:vAlign w:val="center"/>
          </w:tcPr>
          <w:p w:rsidR="00CB3495" w:rsidRPr="00A759A9" w:rsidRDefault="00CB3495" w:rsidP="00A759A9">
            <w:pPr>
              <w:spacing w:line="288" w:lineRule="auto"/>
              <w:ind w:right="77"/>
              <w:jc w:val="center"/>
            </w:pPr>
            <w:r>
              <w:t>3.5</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1.3</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-1.4</w:t>
            </w:r>
          </w:p>
        </w:tc>
        <w:tc>
          <w:tcPr>
            <w:tcW w:w="988" w:type="dxa"/>
            <w:tcBorders>
              <w:top w:val="nil"/>
            </w:tcBorders>
            <w:vAlign w:val="center"/>
          </w:tcPr>
          <w:p w:rsidR="00CB3495" w:rsidRPr="00A759A9" w:rsidRDefault="00CB3495" w:rsidP="00A759A9">
            <w:pPr>
              <w:spacing w:line="288" w:lineRule="auto"/>
              <w:ind w:right="77"/>
              <w:jc w:val="center"/>
            </w:pPr>
            <w:r>
              <w:t>8.7</w:t>
            </w:r>
          </w:p>
        </w:tc>
      </w:tr>
      <w:tr w:rsidR="00CB3495" w:rsidRPr="00A759A9" w:rsidTr="00DA2477">
        <w:tc>
          <w:tcPr>
            <w:tcW w:w="3245" w:type="dxa"/>
            <w:tcBorders>
              <w:bottom w:val="nil"/>
            </w:tcBorders>
            <w:vAlign w:val="center"/>
          </w:tcPr>
          <w:p w:rsidR="00CB3495" w:rsidRPr="00A759A9" w:rsidRDefault="00CB3495" w:rsidP="00A759A9">
            <w:pPr>
              <w:spacing w:line="288" w:lineRule="auto"/>
              <w:ind w:right="77"/>
              <w:jc w:val="center"/>
              <w:rPr>
                <w:b/>
                <w:bCs/>
              </w:rPr>
            </w:pPr>
            <w:r w:rsidRPr="00A759A9">
              <w:rPr>
                <w:b/>
                <w:bCs/>
                <w:sz w:val="22"/>
                <w:szCs w:val="22"/>
              </w:rPr>
              <w:t>Diğerleri</w:t>
            </w:r>
          </w:p>
        </w:tc>
        <w:tc>
          <w:tcPr>
            <w:tcW w:w="977"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tcBorders>
            <w:vAlign w:val="center"/>
          </w:tcPr>
          <w:p w:rsidR="00CB3495" w:rsidRPr="00A759A9" w:rsidRDefault="00CB3495" w:rsidP="00A759A9">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p>
        </w:tc>
        <w:tc>
          <w:tcPr>
            <w:tcW w:w="987" w:type="dxa"/>
            <w:tcBorders>
              <w:left w:val="double" w:sz="4" w:space="0" w:color="auto"/>
              <w:bottom w:val="nil"/>
            </w:tcBorders>
            <w:vAlign w:val="center"/>
          </w:tcPr>
          <w:p w:rsidR="00CB3495" w:rsidRPr="00A759A9" w:rsidRDefault="00CB3495" w:rsidP="00A759A9">
            <w:pPr>
              <w:spacing w:line="288" w:lineRule="auto"/>
              <w:ind w:right="77"/>
              <w:jc w:val="center"/>
            </w:pPr>
          </w:p>
        </w:tc>
        <w:tc>
          <w:tcPr>
            <w:tcW w:w="988" w:type="dxa"/>
            <w:tcBorders>
              <w:bottom w:val="nil"/>
            </w:tcBorders>
            <w:vAlign w:val="center"/>
          </w:tcPr>
          <w:p w:rsidR="00CB3495" w:rsidRPr="00A759A9" w:rsidRDefault="00CB3495" w:rsidP="00A759A9">
            <w:pPr>
              <w:spacing w:line="288" w:lineRule="auto"/>
              <w:ind w:right="77"/>
              <w:jc w:val="center"/>
            </w:pPr>
          </w:p>
        </w:tc>
      </w:tr>
      <w:tr w:rsidR="00CB3495" w:rsidRPr="00A759A9" w:rsidTr="00DA2477">
        <w:tc>
          <w:tcPr>
            <w:tcW w:w="3245" w:type="dxa"/>
            <w:tcBorders>
              <w:top w:val="nil"/>
              <w:bottom w:val="nil"/>
            </w:tcBorders>
            <w:vAlign w:val="center"/>
          </w:tcPr>
          <w:p w:rsidR="00CB3495" w:rsidRPr="00A759A9" w:rsidRDefault="00CB3495" w:rsidP="00A759A9">
            <w:pPr>
              <w:spacing w:line="288" w:lineRule="auto"/>
              <w:ind w:right="77"/>
              <w:jc w:val="center"/>
            </w:pPr>
            <w:r w:rsidRPr="00A759A9">
              <w:rPr>
                <w:sz w:val="22"/>
                <w:szCs w:val="22"/>
              </w:rPr>
              <w:t>Özel tüketim vergisi (ÖTV)</w:t>
            </w:r>
          </w:p>
        </w:tc>
        <w:tc>
          <w:tcPr>
            <w:tcW w:w="977" w:type="dxa"/>
            <w:tcBorders>
              <w:top w:val="nil"/>
              <w:bottom w:val="nil"/>
            </w:tcBorders>
            <w:vAlign w:val="center"/>
          </w:tcPr>
          <w:p w:rsidR="00CB3495" w:rsidRPr="00A759A9" w:rsidRDefault="00CB3495" w:rsidP="00A759A9">
            <w:pPr>
              <w:spacing w:line="288" w:lineRule="auto"/>
              <w:ind w:right="77"/>
              <w:jc w:val="center"/>
            </w:pPr>
            <w:r>
              <w:t>5.5</w:t>
            </w:r>
          </w:p>
        </w:tc>
        <w:tc>
          <w:tcPr>
            <w:tcW w:w="978" w:type="dxa"/>
            <w:tcBorders>
              <w:top w:val="nil"/>
              <w:bottom w:val="nil"/>
            </w:tcBorders>
            <w:vAlign w:val="center"/>
          </w:tcPr>
          <w:p w:rsidR="00CB3495" w:rsidRPr="00A759A9" w:rsidRDefault="00CB3495" w:rsidP="00A759A9">
            <w:pPr>
              <w:spacing w:line="288" w:lineRule="auto"/>
              <w:ind w:right="77"/>
              <w:jc w:val="center"/>
            </w:pPr>
            <w:r>
              <w:t>-2.0</w:t>
            </w:r>
          </w:p>
        </w:tc>
        <w:tc>
          <w:tcPr>
            <w:tcW w:w="978" w:type="dxa"/>
            <w:tcBorders>
              <w:top w:val="nil"/>
              <w:bottom w:val="nil"/>
            </w:tcBorders>
            <w:vAlign w:val="center"/>
          </w:tcPr>
          <w:p w:rsidR="00CB3495" w:rsidRPr="00A759A9" w:rsidRDefault="00CB3495" w:rsidP="00A759A9">
            <w:pPr>
              <w:spacing w:line="288" w:lineRule="auto"/>
              <w:ind w:right="77"/>
              <w:jc w:val="center"/>
            </w:pPr>
            <w:r>
              <w:t>0.0</w:t>
            </w:r>
          </w:p>
        </w:tc>
        <w:tc>
          <w:tcPr>
            <w:tcW w:w="978" w:type="dxa"/>
            <w:tcBorders>
              <w:top w:val="nil"/>
              <w:bottom w:val="nil"/>
            </w:tcBorders>
            <w:vAlign w:val="center"/>
          </w:tcPr>
          <w:p w:rsidR="00CB3495" w:rsidRPr="00A759A9" w:rsidRDefault="00CB3495" w:rsidP="00A759A9">
            <w:pPr>
              <w:spacing w:line="288" w:lineRule="auto"/>
              <w:ind w:right="77"/>
              <w:jc w:val="center"/>
            </w:pPr>
            <w:r>
              <w:t>2.1</w:t>
            </w:r>
          </w:p>
        </w:tc>
        <w:tc>
          <w:tcPr>
            <w:tcW w:w="978" w:type="dxa"/>
            <w:tcBorders>
              <w:top w:val="nil"/>
              <w:bottom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w:t>
            </w:r>
          </w:p>
        </w:tc>
        <w:tc>
          <w:tcPr>
            <w:tcW w:w="987" w:type="dxa"/>
            <w:tcBorders>
              <w:top w:val="nil"/>
              <w:left w:val="double" w:sz="4" w:space="0" w:color="auto"/>
              <w:bottom w:val="nil"/>
            </w:tcBorders>
            <w:vAlign w:val="center"/>
          </w:tcPr>
          <w:p w:rsidR="00CB3495" w:rsidRPr="00A759A9" w:rsidRDefault="00CB3495" w:rsidP="00A759A9">
            <w:pPr>
              <w:spacing w:line="288" w:lineRule="auto"/>
              <w:ind w:right="77"/>
              <w:jc w:val="center"/>
            </w:pPr>
            <w:r>
              <w:t>4.7</w:t>
            </w:r>
          </w:p>
        </w:tc>
        <w:tc>
          <w:tcPr>
            <w:tcW w:w="988" w:type="dxa"/>
            <w:tcBorders>
              <w:top w:val="nil"/>
              <w:bottom w:val="nil"/>
            </w:tcBorders>
            <w:vAlign w:val="center"/>
          </w:tcPr>
          <w:p w:rsidR="00CB3495" w:rsidRPr="00A759A9" w:rsidRDefault="00CB3495" w:rsidP="00A759A9">
            <w:pPr>
              <w:spacing w:line="288" w:lineRule="auto"/>
              <w:ind w:right="77"/>
              <w:jc w:val="center"/>
            </w:pPr>
            <w:r>
              <w:t>1.5</w:t>
            </w:r>
          </w:p>
        </w:tc>
      </w:tr>
      <w:tr w:rsidR="00CB3495" w:rsidRPr="00A759A9" w:rsidTr="00DA2477">
        <w:tc>
          <w:tcPr>
            <w:tcW w:w="3245" w:type="dxa"/>
            <w:tcBorders>
              <w:top w:val="nil"/>
            </w:tcBorders>
            <w:vAlign w:val="center"/>
          </w:tcPr>
          <w:p w:rsidR="00CB3495" w:rsidRPr="00A759A9" w:rsidRDefault="00CB3495" w:rsidP="00A759A9">
            <w:pPr>
              <w:spacing w:line="288" w:lineRule="auto"/>
              <w:ind w:right="77"/>
              <w:jc w:val="center"/>
            </w:pPr>
            <w:r w:rsidRPr="00A759A9">
              <w:rPr>
                <w:sz w:val="22"/>
                <w:szCs w:val="22"/>
              </w:rPr>
              <w:t>Binek otomobil üretimi</w:t>
            </w:r>
          </w:p>
        </w:tc>
        <w:tc>
          <w:tcPr>
            <w:tcW w:w="977" w:type="dxa"/>
            <w:tcBorders>
              <w:top w:val="nil"/>
            </w:tcBorders>
            <w:vAlign w:val="center"/>
          </w:tcPr>
          <w:p w:rsidR="00CB3495" w:rsidRPr="00A759A9" w:rsidRDefault="00CB3495" w:rsidP="00A759A9">
            <w:pPr>
              <w:spacing w:line="288" w:lineRule="auto"/>
              <w:ind w:right="77"/>
              <w:jc w:val="center"/>
            </w:pPr>
            <w:r>
              <w:t>5.0</w:t>
            </w:r>
          </w:p>
        </w:tc>
        <w:tc>
          <w:tcPr>
            <w:tcW w:w="978" w:type="dxa"/>
            <w:tcBorders>
              <w:top w:val="nil"/>
            </w:tcBorders>
            <w:vAlign w:val="center"/>
          </w:tcPr>
          <w:p w:rsidR="00CB3495" w:rsidRPr="00A759A9" w:rsidRDefault="00CB3495" w:rsidP="00A759A9">
            <w:pPr>
              <w:spacing w:line="288" w:lineRule="auto"/>
              <w:ind w:right="77"/>
              <w:jc w:val="center"/>
            </w:pPr>
            <w:r>
              <w:t>-10.4</w:t>
            </w:r>
          </w:p>
        </w:tc>
        <w:tc>
          <w:tcPr>
            <w:tcW w:w="978" w:type="dxa"/>
            <w:tcBorders>
              <w:top w:val="nil"/>
            </w:tcBorders>
            <w:vAlign w:val="center"/>
          </w:tcPr>
          <w:p w:rsidR="00CB3495" w:rsidRPr="00A759A9" w:rsidRDefault="00CB3495" w:rsidP="00A759A9">
            <w:pPr>
              <w:spacing w:line="288" w:lineRule="auto"/>
              <w:ind w:right="77"/>
              <w:jc w:val="center"/>
            </w:pPr>
            <w:r>
              <w:t>-2.7</w:t>
            </w:r>
          </w:p>
        </w:tc>
        <w:tc>
          <w:tcPr>
            <w:tcW w:w="978" w:type="dxa"/>
            <w:tcBorders>
              <w:top w:val="nil"/>
            </w:tcBorders>
            <w:vAlign w:val="center"/>
          </w:tcPr>
          <w:p w:rsidR="00CB3495" w:rsidRPr="00A759A9" w:rsidRDefault="00CB3495" w:rsidP="00A759A9">
            <w:pPr>
              <w:spacing w:line="288" w:lineRule="auto"/>
              <w:ind w:right="77"/>
              <w:jc w:val="center"/>
            </w:pPr>
            <w:r>
              <w:t>8.0</w:t>
            </w:r>
          </w:p>
        </w:tc>
        <w:tc>
          <w:tcPr>
            <w:tcW w:w="978" w:type="dxa"/>
            <w:tcBorders>
              <w:top w:val="nil"/>
              <w:right w:val="double" w:sz="4" w:space="0" w:color="auto"/>
            </w:tcBorders>
            <w:tcMar>
              <w:left w:w="57" w:type="dxa"/>
              <w:right w:w="170" w:type="dxa"/>
            </w:tcMar>
            <w:vAlign w:val="center"/>
          </w:tcPr>
          <w:p w:rsidR="00CB3495" w:rsidRPr="00A759A9" w:rsidRDefault="00CB3495" w:rsidP="00A759A9">
            <w:pPr>
              <w:spacing w:line="288" w:lineRule="auto"/>
              <w:ind w:right="77"/>
              <w:jc w:val="center"/>
            </w:pPr>
            <w:r>
              <w:t>-0.2</w:t>
            </w:r>
          </w:p>
        </w:tc>
        <w:tc>
          <w:tcPr>
            <w:tcW w:w="987" w:type="dxa"/>
            <w:tcBorders>
              <w:top w:val="nil"/>
              <w:left w:val="double" w:sz="4" w:space="0" w:color="auto"/>
            </w:tcBorders>
            <w:vAlign w:val="center"/>
          </w:tcPr>
          <w:p w:rsidR="00CB3495" w:rsidRPr="00A759A9" w:rsidRDefault="00CB3495" w:rsidP="00A759A9">
            <w:pPr>
              <w:spacing w:line="288" w:lineRule="auto"/>
              <w:ind w:right="77"/>
              <w:jc w:val="center"/>
            </w:pPr>
            <w:r>
              <w:t>-3.2</w:t>
            </w:r>
          </w:p>
        </w:tc>
        <w:tc>
          <w:tcPr>
            <w:tcW w:w="988" w:type="dxa"/>
            <w:tcBorders>
              <w:top w:val="nil"/>
            </w:tcBorders>
            <w:vAlign w:val="center"/>
          </w:tcPr>
          <w:p w:rsidR="00CB3495" w:rsidRPr="00A759A9" w:rsidRDefault="00CB3495" w:rsidP="00A759A9">
            <w:pPr>
              <w:spacing w:line="288" w:lineRule="auto"/>
              <w:ind w:right="77"/>
              <w:jc w:val="center"/>
            </w:pPr>
            <w:r>
              <w:t>-3.4</w:t>
            </w:r>
          </w:p>
        </w:tc>
      </w:tr>
    </w:tbl>
    <w:bookmarkEnd w:id="0"/>
    <w:p w:rsidR="00CB3495" w:rsidRDefault="00CB3495" w:rsidP="004259B8">
      <w:pPr>
        <w:spacing w:line="360" w:lineRule="auto"/>
        <w:ind w:left="-720" w:right="42" w:firstLine="360"/>
        <w:jc w:val="both"/>
        <w:rPr>
          <w:sz w:val="18"/>
          <w:szCs w:val="18"/>
        </w:rPr>
      </w:pPr>
      <w:r w:rsidRPr="008C6E50">
        <w:rPr>
          <w:sz w:val="18"/>
          <w:szCs w:val="18"/>
        </w:rPr>
        <w:t>Kaynak: TUIK, TCMB, IMKB, BETAM</w:t>
      </w:r>
      <w:r>
        <w:rPr>
          <w:sz w:val="18"/>
          <w:szCs w:val="18"/>
        </w:rPr>
        <w:t xml:space="preserve">. </w:t>
      </w:r>
    </w:p>
    <w:p w:rsidR="00CB3495" w:rsidRPr="004259B8" w:rsidRDefault="00CB3495" w:rsidP="004259B8">
      <w:pPr>
        <w:spacing w:line="360" w:lineRule="auto"/>
        <w:ind w:left="-720" w:right="42" w:firstLine="360"/>
        <w:jc w:val="both"/>
        <w:rPr>
          <w:sz w:val="18"/>
          <w:szCs w:val="18"/>
        </w:rPr>
        <w:sectPr w:rsidR="00CB3495" w:rsidRPr="004259B8" w:rsidSect="008651A8">
          <w:type w:val="continuous"/>
          <w:pgSz w:w="11906" w:h="16838"/>
          <w:pgMar w:top="1417" w:right="1417" w:bottom="1417" w:left="1417" w:header="708" w:footer="708" w:gutter="0"/>
          <w:cols w:space="708"/>
          <w:docGrid w:linePitch="360"/>
        </w:sect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4259B8">
      <w:pPr>
        <w:ind w:left="-360" w:right="42"/>
        <w:jc w:val="both"/>
        <w:rPr>
          <w:b/>
          <w:bCs/>
          <w:sz w:val="22"/>
          <w:szCs w:val="22"/>
        </w:rPr>
      </w:pPr>
    </w:p>
    <w:p w:rsidR="00CB3495" w:rsidRDefault="00CB3495" w:rsidP="007B19BC">
      <w:pPr>
        <w:ind w:right="42"/>
        <w:jc w:val="both"/>
        <w:rPr>
          <w:b/>
          <w:bCs/>
          <w:sz w:val="22"/>
          <w:szCs w:val="22"/>
        </w:rPr>
      </w:pPr>
    </w:p>
    <w:p w:rsidR="00DA2477" w:rsidRDefault="00DA2477" w:rsidP="004259B8">
      <w:pPr>
        <w:ind w:left="-360" w:right="42"/>
        <w:jc w:val="both"/>
        <w:rPr>
          <w:b/>
          <w:bCs/>
          <w:sz w:val="22"/>
          <w:szCs w:val="22"/>
        </w:rPr>
      </w:pPr>
    </w:p>
    <w:p w:rsidR="00DA2477" w:rsidRDefault="00DA2477" w:rsidP="004259B8">
      <w:pPr>
        <w:ind w:left="-360" w:right="42"/>
        <w:jc w:val="both"/>
        <w:rPr>
          <w:b/>
          <w:bCs/>
          <w:sz w:val="22"/>
          <w:szCs w:val="22"/>
        </w:rPr>
      </w:pPr>
    </w:p>
    <w:p w:rsidR="00DA2477" w:rsidRDefault="00DA2477" w:rsidP="004259B8">
      <w:pPr>
        <w:ind w:left="-360" w:right="42"/>
        <w:jc w:val="both"/>
        <w:rPr>
          <w:b/>
          <w:bCs/>
          <w:sz w:val="22"/>
          <w:szCs w:val="22"/>
        </w:rPr>
      </w:pPr>
    </w:p>
    <w:p w:rsidR="00CB3495" w:rsidRDefault="00CB3495" w:rsidP="004259B8">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CB3495" w:rsidRPr="007067F4" w:rsidRDefault="00CB3495" w:rsidP="0072768C">
      <w:pPr>
        <w:ind w:left="-360" w:right="42"/>
        <w:jc w:val="both"/>
        <w:rPr>
          <w:b/>
          <w:bCs/>
          <w:sz w:val="8"/>
          <w:szCs w:val="8"/>
        </w:rPr>
      </w:pPr>
    </w:p>
    <w:p w:rsidR="00CB3495" w:rsidRPr="00CE2137" w:rsidRDefault="005C2A01" w:rsidP="00143024">
      <w:pPr>
        <w:ind w:left="-360" w:right="42"/>
        <w:jc w:val="both"/>
      </w:pPr>
      <w:r>
        <w:rPr>
          <w:noProof/>
        </w:rPr>
        <w:drawing>
          <wp:inline distT="0" distB="0" distL="0" distR="0">
            <wp:extent cx="2703195" cy="228219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3195" cy="2282190"/>
                    </a:xfrm>
                    <a:prstGeom prst="rect">
                      <a:avLst/>
                    </a:prstGeom>
                    <a:noFill/>
                    <a:ln w="9525">
                      <a:noFill/>
                      <a:miter lim="800000"/>
                      <a:headEnd/>
                      <a:tailEnd/>
                    </a:ln>
                  </pic:spPr>
                </pic:pic>
              </a:graphicData>
            </a:graphic>
          </wp:inline>
        </w:drawing>
      </w:r>
    </w:p>
    <w:p w:rsidR="00CB3495" w:rsidRDefault="00CB3495" w:rsidP="00143024">
      <w:pPr>
        <w:ind w:left="-360" w:right="42"/>
        <w:jc w:val="both"/>
        <w:rPr>
          <w:sz w:val="18"/>
          <w:szCs w:val="18"/>
        </w:rPr>
      </w:pPr>
      <w:r w:rsidRPr="008C6E50">
        <w:rPr>
          <w:sz w:val="18"/>
          <w:szCs w:val="18"/>
        </w:rPr>
        <w:t xml:space="preserve">Kaynak : TÜİK, Betam (sol taraf KKO ekseni, sağ taraf SÜE </w:t>
      </w:r>
      <w:r>
        <w:rPr>
          <w:sz w:val="18"/>
          <w:szCs w:val="18"/>
        </w:rPr>
        <w:t xml:space="preserve">  </w:t>
      </w:r>
    </w:p>
    <w:p w:rsidR="00CB3495" w:rsidRPr="008C6E50" w:rsidRDefault="00CB3495" w:rsidP="00143024">
      <w:pPr>
        <w:ind w:left="-360" w:right="42"/>
        <w:jc w:val="both"/>
        <w:rPr>
          <w:sz w:val="18"/>
          <w:szCs w:val="18"/>
        </w:rPr>
      </w:pPr>
      <w:r>
        <w:rPr>
          <w:sz w:val="18"/>
          <w:szCs w:val="18"/>
        </w:rPr>
        <w:t xml:space="preserve"> </w:t>
      </w:r>
      <w:r w:rsidRPr="008C6E50">
        <w:rPr>
          <w:sz w:val="18"/>
          <w:szCs w:val="18"/>
        </w:rPr>
        <w:t>ekseni)</w:t>
      </w:r>
    </w:p>
    <w:p w:rsidR="00CB3495" w:rsidRDefault="00CB3495" w:rsidP="0072768C">
      <w:pPr>
        <w:ind w:left="-360" w:right="42"/>
        <w:jc w:val="both"/>
        <w:rPr>
          <w:b/>
          <w:bCs/>
          <w:sz w:val="22"/>
          <w:szCs w:val="22"/>
        </w:rPr>
      </w:pPr>
    </w:p>
    <w:p w:rsidR="00CB3495" w:rsidRDefault="00CB3495" w:rsidP="000F2DB4">
      <w:pPr>
        <w:ind w:right="42"/>
        <w:jc w:val="both"/>
        <w:rPr>
          <w:b/>
          <w:bCs/>
          <w:sz w:val="22"/>
          <w:szCs w:val="22"/>
        </w:rPr>
      </w:pPr>
    </w:p>
    <w:p w:rsidR="00CB3495" w:rsidRPr="00483C58" w:rsidRDefault="00CB3495" w:rsidP="00483C58">
      <w:pPr>
        <w:ind w:left="-360" w:right="42"/>
        <w:jc w:val="both"/>
        <w:rPr>
          <w:b/>
          <w:bCs/>
          <w:sz w:val="22"/>
          <w:szCs w:val="22"/>
        </w:rPr>
      </w:pP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CB3495" w:rsidRPr="007067F4" w:rsidRDefault="00CB3495" w:rsidP="0072768C">
      <w:pPr>
        <w:spacing w:line="360" w:lineRule="auto"/>
        <w:ind w:left="-360" w:right="42"/>
        <w:jc w:val="both"/>
        <w:rPr>
          <w:sz w:val="4"/>
          <w:szCs w:val="4"/>
        </w:rPr>
      </w:pPr>
    </w:p>
    <w:p w:rsidR="00CB3495" w:rsidRPr="00CE2137" w:rsidRDefault="005C2A01" w:rsidP="00143024">
      <w:pPr>
        <w:ind w:left="-360" w:right="42"/>
        <w:jc w:val="both"/>
      </w:pPr>
      <w:r>
        <w:rPr>
          <w:noProof/>
        </w:rPr>
        <w:drawing>
          <wp:inline distT="0" distB="0" distL="0" distR="0">
            <wp:extent cx="2655570" cy="22580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55570" cy="2258060"/>
                    </a:xfrm>
                    <a:prstGeom prst="rect">
                      <a:avLst/>
                    </a:prstGeom>
                    <a:noFill/>
                    <a:ln w="9525">
                      <a:noFill/>
                      <a:miter lim="800000"/>
                      <a:headEnd/>
                      <a:tailEnd/>
                    </a:ln>
                  </pic:spPr>
                </pic:pic>
              </a:graphicData>
            </a:graphic>
          </wp:inline>
        </w:drawing>
      </w:r>
    </w:p>
    <w:p w:rsidR="00CB3495" w:rsidRPr="008C6E50" w:rsidRDefault="00CB3495" w:rsidP="00143024">
      <w:pPr>
        <w:ind w:left="-360" w:right="42"/>
        <w:jc w:val="both"/>
        <w:rPr>
          <w:sz w:val="18"/>
          <w:szCs w:val="18"/>
        </w:rPr>
      </w:pPr>
      <w:r w:rsidRPr="008C6E50">
        <w:rPr>
          <w:sz w:val="18"/>
          <w:szCs w:val="18"/>
        </w:rPr>
        <w:t>Kaynak : TÜİK, Betam</w:t>
      </w:r>
    </w:p>
    <w:p w:rsidR="00CB3495" w:rsidRDefault="00CB3495" w:rsidP="000F2DB4">
      <w:pPr>
        <w:spacing w:line="360" w:lineRule="auto"/>
        <w:ind w:right="42"/>
        <w:jc w:val="both"/>
        <w:rPr>
          <w:sz w:val="22"/>
          <w:szCs w:val="22"/>
        </w:rPr>
        <w:sectPr w:rsidR="00CB3495" w:rsidSect="007067F4">
          <w:type w:val="continuous"/>
          <w:pgSz w:w="11906" w:h="16838"/>
          <w:pgMar w:top="1417" w:right="1417" w:bottom="1417" w:left="1417" w:header="708" w:footer="708" w:gutter="0"/>
          <w:cols w:num="2" w:space="708" w:equalWidth="0">
            <w:col w:w="4182" w:space="708"/>
            <w:col w:w="4182"/>
          </w:cols>
          <w:docGrid w:linePitch="360"/>
        </w:sectPr>
      </w:pPr>
    </w:p>
    <w:p w:rsidR="00DA2477" w:rsidRPr="007067F4" w:rsidRDefault="00DA2477" w:rsidP="00DA2477">
      <w:pPr>
        <w:spacing w:line="360" w:lineRule="auto"/>
        <w:ind w:left="-360" w:right="42"/>
        <w:jc w:val="both"/>
        <w:rPr>
          <w:b/>
          <w:bCs/>
          <w:sz w:val="22"/>
          <w:szCs w:val="22"/>
        </w:rPr>
      </w:pPr>
      <w:r>
        <w:rPr>
          <w:b/>
          <w:bCs/>
          <w:sz w:val="22"/>
          <w:szCs w:val="22"/>
        </w:rPr>
        <w:lastRenderedPageBreak/>
        <w:t>Şekil 3: C</w:t>
      </w:r>
      <w:r w:rsidRPr="007067F4">
        <w:rPr>
          <w:b/>
          <w:bCs/>
          <w:sz w:val="22"/>
          <w:szCs w:val="22"/>
        </w:rPr>
        <w:t xml:space="preserve">ari </w:t>
      </w:r>
      <w:r>
        <w:rPr>
          <w:b/>
          <w:bCs/>
          <w:sz w:val="22"/>
          <w:szCs w:val="22"/>
        </w:rPr>
        <w:t xml:space="preserve">açığın GSYH’a oranı                           </w:t>
      </w:r>
    </w:p>
    <w:p w:rsidR="00DA2477" w:rsidRPr="000144EB" w:rsidRDefault="00DA2477" w:rsidP="00DA2477">
      <w:pPr>
        <w:ind w:left="-360" w:right="42"/>
      </w:pPr>
      <w:r w:rsidRPr="00DA2477">
        <w:rPr>
          <w:noProof/>
        </w:rPr>
        <w:drawing>
          <wp:inline distT="0" distB="0" distL="0" distR="0">
            <wp:extent cx="5761548" cy="2234317"/>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60720" cy="2233996"/>
                    </a:xfrm>
                    <a:prstGeom prst="rect">
                      <a:avLst/>
                    </a:prstGeom>
                    <a:noFill/>
                    <a:ln w="9525">
                      <a:noFill/>
                      <a:miter lim="800000"/>
                      <a:headEnd/>
                      <a:tailEnd/>
                    </a:ln>
                  </pic:spPr>
                </pic:pic>
              </a:graphicData>
            </a:graphic>
          </wp:inline>
        </w:drawing>
      </w:r>
    </w:p>
    <w:p w:rsidR="00DA2477" w:rsidRPr="00143024" w:rsidRDefault="00DA2477" w:rsidP="00DA2477">
      <w:pPr>
        <w:ind w:left="-360" w:right="42"/>
      </w:pPr>
      <w:r>
        <w:rPr>
          <w:sz w:val="18"/>
          <w:szCs w:val="18"/>
        </w:rPr>
        <w:t xml:space="preserve">Kaynak: TCMB, TUIK, Betam </w:t>
      </w:r>
      <w:r>
        <w:rPr>
          <w:sz w:val="18"/>
          <w:szCs w:val="18"/>
        </w:rPr>
        <w:tab/>
      </w:r>
      <w:r>
        <w:rPr>
          <w:sz w:val="18"/>
          <w:szCs w:val="18"/>
        </w:rPr>
        <w:tab/>
      </w:r>
      <w:r>
        <w:rPr>
          <w:sz w:val="18"/>
          <w:szCs w:val="18"/>
        </w:rPr>
        <w:tab/>
      </w:r>
      <w:r>
        <w:rPr>
          <w:sz w:val="18"/>
          <w:szCs w:val="18"/>
        </w:rPr>
        <w:tab/>
      </w:r>
    </w:p>
    <w:p w:rsidR="00DA2477" w:rsidRDefault="00DA2477" w:rsidP="00DA2477">
      <w:pPr>
        <w:ind w:left="-360" w:right="42"/>
      </w:pPr>
    </w:p>
    <w:p w:rsidR="00DA2477" w:rsidRPr="00EC248D" w:rsidRDefault="00DA2477" w:rsidP="00DA2477">
      <w:pPr>
        <w:spacing w:line="360" w:lineRule="auto"/>
        <w:ind w:left="-360" w:right="42"/>
        <w:jc w:val="both"/>
        <w:rPr>
          <w:b/>
          <w:bCs/>
          <w:sz w:val="22"/>
          <w:szCs w:val="22"/>
        </w:rPr>
      </w:pPr>
      <w:r w:rsidRPr="00EC248D">
        <w:rPr>
          <w:b/>
          <w:bCs/>
          <w:sz w:val="22"/>
          <w:szCs w:val="22"/>
        </w:rPr>
        <w:t xml:space="preserve">Şekil 5. </w:t>
      </w:r>
      <w:r>
        <w:rPr>
          <w:b/>
          <w:bCs/>
          <w:sz w:val="22"/>
          <w:szCs w:val="22"/>
        </w:rPr>
        <w:t>Aylık 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DA2477" w:rsidRDefault="00DA2477" w:rsidP="00DA2477">
      <w:pPr>
        <w:spacing w:line="360" w:lineRule="auto"/>
        <w:ind w:left="-360" w:right="42"/>
        <w:jc w:val="both"/>
        <w:rPr>
          <w:sz w:val="18"/>
          <w:szCs w:val="18"/>
        </w:rPr>
      </w:pPr>
      <w:r w:rsidRPr="00DA2477">
        <w:rPr>
          <w:noProof/>
          <w:szCs w:val="18"/>
        </w:rPr>
        <w:drawing>
          <wp:inline distT="0" distB="0" distL="0" distR="0">
            <wp:extent cx="5761548" cy="237744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760720" cy="2377098"/>
                    </a:xfrm>
                    <a:prstGeom prst="rect">
                      <a:avLst/>
                    </a:prstGeom>
                    <a:noFill/>
                    <a:ln w="9525">
                      <a:noFill/>
                      <a:miter lim="800000"/>
                      <a:headEnd/>
                      <a:tailEnd/>
                    </a:ln>
                  </pic:spPr>
                </pic:pic>
              </a:graphicData>
            </a:graphic>
          </wp:inline>
        </w:drawing>
      </w:r>
    </w:p>
    <w:p w:rsidR="00CB3495" w:rsidRPr="00DA2477" w:rsidRDefault="00DA2477" w:rsidP="00DA2477">
      <w:pPr>
        <w:ind w:left="-360" w:right="42"/>
        <w:jc w:val="both"/>
        <w:rPr>
          <w:sz w:val="18"/>
          <w:szCs w:val="18"/>
        </w:rPr>
      </w:pPr>
      <w:r w:rsidRPr="00CC41EB">
        <w:rPr>
          <w:sz w:val="18"/>
          <w:szCs w:val="18"/>
        </w:rPr>
        <w:t xml:space="preserve">Kaynak : </w:t>
      </w:r>
      <w:r>
        <w:rPr>
          <w:sz w:val="18"/>
          <w:szCs w:val="18"/>
        </w:rPr>
        <w:t>TCMB</w:t>
      </w:r>
    </w:p>
    <w:p w:rsidR="00CB3495" w:rsidRDefault="007014BE" w:rsidP="0072768C">
      <w:pPr>
        <w:spacing w:line="360" w:lineRule="auto"/>
        <w:ind w:right="42"/>
        <w:jc w:val="both"/>
        <w:rPr>
          <w:b/>
          <w:bCs/>
          <w:sz w:val="22"/>
          <w:szCs w:val="22"/>
        </w:rPr>
      </w:pPr>
      <w:r>
        <w:rPr>
          <w:b/>
          <w:bCs/>
          <w:sz w:val="22"/>
          <w:szCs w:val="22"/>
        </w:rPr>
        <w:lastRenderedPageBreak/>
        <w:t>Şekil 6</w:t>
      </w:r>
      <w:r w:rsidR="00CB3495" w:rsidRPr="008C6E50">
        <w:rPr>
          <w:b/>
          <w:bCs/>
          <w:sz w:val="22"/>
          <w:szCs w:val="22"/>
        </w:rPr>
        <w:t xml:space="preserve"> :</w:t>
      </w:r>
      <w:r w:rsidR="00CB3495" w:rsidRPr="008C6E50">
        <w:rPr>
          <w:sz w:val="22"/>
          <w:szCs w:val="22"/>
        </w:rPr>
        <w:t xml:space="preserve"> </w:t>
      </w:r>
      <w:r w:rsidR="00CB3495" w:rsidRPr="008C6E50">
        <w:rPr>
          <w:b/>
          <w:bCs/>
          <w:sz w:val="22"/>
          <w:szCs w:val="22"/>
        </w:rPr>
        <w:t>Alt</w:t>
      </w:r>
      <w:r w:rsidR="00CB3495">
        <w:rPr>
          <w:b/>
          <w:bCs/>
          <w:sz w:val="22"/>
          <w:szCs w:val="22"/>
        </w:rPr>
        <w:t xml:space="preserve"> </w:t>
      </w:r>
      <w:r w:rsidR="00CB3495" w:rsidRPr="008C6E50">
        <w:rPr>
          <w:b/>
          <w:bCs/>
          <w:sz w:val="22"/>
          <w:szCs w:val="22"/>
        </w:rPr>
        <w:t>kalemlere göre aylık ihracat değişim oranları (</w:t>
      </w:r>
      <w:r w:rsidR="00CB3495">
        <w:rPr>
          <w:b/>
          <w:bCs/>
          <w:sz w:val="22"/>
          <w:szCs w:val="22"/>
        </w:rPr>
        <w:t>mea</w:t>
      </w:r>
      <w:r w:rsidR="00CB3495" w:rsidRPr="008C6E50">
        <w:rPr>
          <w:b/>
          <w:bCs/>
          <w:sz w:val="22"/>
          <w:szCs w:val="22"/>
        </w:rPr>
        <w:t>)</w:t>
      </w:r>
    </w:p>
    <w:p w:rsidR="00CB3495" w:rsidRDefault="00CB3495" w:rsidP="0072768C">
      <w:pPr>
        <w:spacing w:line="360" w:lineRule="auto"/>
        <w:ind w:right="42"/>
        <w:jc w:val="both"/>
        <w:rPr>
          <w:b/>
          <w:bCs/>
          <w:sz w:val="22"/>
          <w:szCs w:val="22"/>
        </w:rPr>
      </w:pPr>
    </w:p>
    <w:p w:rsidR="00CB3495" w:rsidRDefault="005C2A01" w:rsidP="006F278A">
      <w:pPr>
        <w:spacing w:line="360" w:lineRule="auto"/>
        <w:ind w:right="42"/>
        <w:jc w:val="both"/>
        <w:rPr>
          <w:b/>
          <w:bCs/>
          <w:sz w:val="22"/>
          <w:szCs w:val="22"/>
        </w:rPr>
      </w:pPr>
      <w:r>
        <w:rPr>
          <w:noProof/>
        </w:rPr>
        <w:drawing>
          <wp:inline distT="0" distB="0" distL="0" distR="0">
            <wp:extent cx="5732780" cy="2966085"/>
            <wp:effectExtent l="19050" t="0" r="127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32780" cy="2966085"/>
                    </a:xfrm>
                    <a:prstGeom prst="rect">
                      <a:avLst/>
                    </a:prstGeom>
                    <a:noFill/>
                    <a:ln w="9525">
                      <a:noFill/>
                      <a:miter lim="800000"/>
                      <a:headEnd/>
                      <a:tailEnd/>
                    </a:ln>
                  </pic:spPr>
                </pic:pic>
              </a:graphicData>
            </a:graphic>
          </wp:inline>
        </w:drawing>
      </w:r>
      <w:r w:rsidR="00CB3495">
        <w:rPr>
          <w:b/>
          <w:bCs/>
          <w:sz w:val="22"/>
          <w:szCs w:val="22"/>
        </w:rPr>
        <w:br/>
      </w:r>
      <w:r w:rsidR="00993F8D" w:rsidRPr="00993F8D">
        <w:rPr>
          <w:noProof/>
        </w:rPr>
        <w:pict>
          <v:rect id="_x0000_s1032" style="position:absolute;left:0;text-align:left;margin-left:.5pt;margin-top:-18.4pt;width:448.3pt;height:256.7pt;z-index:251659776;mso-position-horizontal-relative:text;mso-position-vertical-relative:text">
            <v:fill opacity="0"/>
            <w10:anchorlock/>
          </v:rect>
        </w:pict>
      </w:r>
      <w:r w:rsidR="00993F8D" w:rsidRPr="00993F8D">
        <w:rPr>
          <w:noProof/>
        </w:rPr>
        <w:pict>
          <v:shape id="_x0000_s1033" type="#_x0000_t202" style="position:absolute;left:0;text-align:left;margin-left:177.05pt;margin-top:-18.4pt;width:88.95pt;height:20.65pt;z-index:251657728;mso-position-horizontal-relative:text;mso-position-vertical-relative:text" strokecolor="white">
            <v:textbox style="mso-next-textbox:#_x0000_s1033">
              <w:txbxContent>
                <w:p w:rsidR="00CB3495" w:rsidRPr="009A67E1" w:rsidRDefault="00CB3495">
                  <w:r>
                    <w:t>Temmuz 2012</w:t>
                  </w:r>
                </w:p>
              </w:txbxContent>
            </v:textbox>
            <w10:anchorlock/>
          </v:shape>
        </w:pict>
      </w:r>
    </w:p>
    <w:p w:rsidR="00CB3495" w:rsidRPr="008C6E50" w:rsidRDefault="005C2A01" w:rsidP="000144EB">
      <w:pPr>
        <w:ind w:right="42"/>
        <w:jc w:val="both"/>
        <w:rPr>
          <w:b/>
          <w:bCs/>
          <w:sz w:val="22"/>
          <w:szCs w:val="22"/>
        </w:rPr>
      </w:pPr>
      <w:r>
        <w:rPr>
          <w:noProof/>
        </w:rPr>
        <w:drawing>
          <wp:inline distT="0" distB="0" distL="0" distR="0">
            <wp:extent cx="5716905" cy="292608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16905" cy="2926080"/>
                    </a:xfrm>
                    <a:prstGeom prst="rect">
                      <a:avLst/>
                    </a:prstGeom>
                    <a:noFill/>
                    <a:ln w="9525">
                      <a:noFill/>
                      <a:miter lim="800000"/>
                      <a:headEnd/>
                      <a:tailEnd/>
                    </a:ln>
                  </pic:spPr>
                </pic:pic>
              </a:graphicData>
            </a:graphic>
          </wp:inline>
        </w:drawing>
      </w:r>
      <w:r w:rsidR="00993F8D" w:rsidRPr="00993F8D">
        <w:rPr>
          <w:noProof/>
        </w:rPr>
        <w:pict>
          <v:rect id="_x0000_s1034" style="position:absolute;left:0;text-align:left;margin-left:.5pt;margin-top:-15pt;width:448.3pt;height:246.25pt;z-index:251660800;mso-position-horizontal-relative:text;mso-position-vertical-relative:text">
            <v:fill opacity="0"/>
            <w10:anchorlock/>
          </v:rect>
        </w:pict>
      </w:r>
      <w:r w:rsidR="00993F8D" w:rsidRPr="00993F8D">
        <w:rPr>
          <w:noProof/>
        </w:rPr>
        <w:pict>
          <v:shape id="_x0000_s1035" type="#_x0000_t202" style="position:absolute;left:0;text-align:left;margin-left:177.05pt;margin-top:-15pt;width:87pt;height:20.65pt;z-index:251658752;mso-position-horizontal-relative:text;mso-position-vertical-relative:text" strokecolor="white">
            <v:textbox>
              <w:txbxContent>
                <w:p w:rsidR="00CB3495" w:rsidRPr="009A67E1" w:rsidRDefault="00CB3495" w:rsidP="009A67E1">
                  <w:r>
                    <w:t>Ağustos 2012</w:t>
                  </w:r>
                </w:p>
              </w:txbxContent>
            </v:textbox>
            <w10:anchorlock/>
          </v:shape>
        </w:pict>
      </w:r>
    </w:p>
    <w:p w:rsidR="00CB3495" w:rsidRDefault="00CB3495" w:rsidP="000144EB">
      <w:pPr>
        <w:ind w:right="42"/>
        <w:jc w:val="both"/>
        <w:rPr>
          <w:sz w:val="18"/>
          <w:szCs w:val="18"/>
        </w:rPr>
      </w:pPr>
      <w:r w:rsidRPr="00CC41EB">
        <w:rPr>
          <w:sz w:val="18"/>
          <w:szCs w:val="18"/>
        </w:rPr>
        <w:t>Kaynak : TÜİK, Betam</w:t>
      </w:r>
    </w:p>
    <w:p w:rsidR="00CB3495" w:rsidRDefault="00CB3495" w:rsidP="0072768C">
      <w:pPr>
        <w:spacing w:line="360" w:lineRule="auto"/>
        <w:ind w:right="42"/>
        <w:jc w:val="both"/>
        <w:rPr>
          <w:sz w:val="18"/>
          <w:szCs w:val="18"/>
        </w:rPr>
      </w:pPr>
    </w:p>
    <w:p w:rsidR="00CB3495" w:rsidRDefault="00CB3495" w:rsidP="0072768C">
      <w:pPr>
        <w:spacing w:line="360" w:lineRule="auto"/>
        <w:ind w:right="42"/>
        <w:jc w:val="both"/>
        <w:rPr>
          <w:sz w:val="18"/>
          <w:szCs w:val="18"/>
        </w:rPr>
      </w:pPr>
    </w:p>
    <w:p w:rsidR="00CB3495" w:rsidRPr="00CC41EB" w:rsidRDefault="00CB3495" w:rsidP="0072768C">
      <w:pPr>
        <w:spacing w:line="360" w:lineRule="auto"/>
        <w:ind w:right="42"/>
        <w:jc w:val="both"/>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p>
    <w:sectPr w:rsidR="00CB3495"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1A" w:rsidRDefault="00DB5C1A">
      <w:r>
        <w:separator/>
      </w:r>
    </w:p>
  </w:endnote>
  <w:endnote w:type="continuationSeparator" w:id="1">
    <w:p w:rsidR="00DB5C1A" w:rsidRDefault="00DB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95" w:rsidRDefault="00993F8D" w:rsidP="00D830C4">
    <w:pPr>
      <w:pStyle w:val="Altbilgi"/>
      <w:framePr w:wrap="auto" w:vAnchor="text" w:hAnchor="margin" w:xAlign="right" w:y="1"/>
      <w:rPr>
        <w:rStyle w:val="SayfaNumaras"/>
      </w:rPr>
    </w:pPr>
    <w:r>
      <w:rPr>
        <w:rStyle w:val="SayfaNumaras"/>
      </w:rPr>
      <w:fldChar w:fldCharType="begin"/>
    </w:r>
    <w:r w:rsidR="00CB3495">
      <w:rPr>
        <w:rStyle w:val="SayfaNumaras"/>
      </w:rPr>
      <w:instrText xml:space="preserve">PAGE  </w:instrText>
    </w:r>
    <w:r>
      <w:rPr>
        <w:rStyle w:val="SayfaNumaras"/>
      </w:rPr>
      <w:fldChar w:fldCharType="separate"/>
    </w:r>
    <w:r w:rsidR="00DA702F">
      <w:rPr>
        <w:rStyle w:val="SayfaNumaras"/>
        <w:noProof/>
      </w:rPr>
      <w:t>1</w:t>
    </w:r>
    <w:r>
      <w:rPr>
        <w:rStyle w:val="SayfaNumaras"/>
      </w:rPr>
      <w:fldChar w:fldCharType="end"/>
    </w:r>
  </w:p>
  <w:p w:rsidR="00CB3495" w:rsidRPr="007B51E3" w:rsidRDefault="00CB3495" w:rsidP="007B51E3">
    <w:pPr>
      <w:pStyle w:val="Altbilgi"/>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1A" w:rsidRDefault="00DB5C1A">
      <w:r>
        <w:separator/>
      </w:r>
    </w:p>
  </w:footnote>
  <w:footnote w:type="continuationSeparator" w:id="1">
    <w:p w:rsidR="00DB5C1A" w:rsidRDefault="00DB5C1A">
      <w:r>
        <w:continuationSeparator/>
      </w:r>
    </w:p>
  </w:footnote>
  <w:footnote w:id="2">
    <w:p w:rsidR="00DD0735" w:rsidRDefault="00DD0735" w:rsidP="00DA2477">
      <w:pPr>
        <w:pStyle w:val="DipnotMetni"/>
        <w:ind w:left="-360"/>
        <w:jc w:val="both"/>
      </w:pPr>
      <w:r>
        <w:rPr>
          <w:rStyle w:val="DipnotBavurusu"/>
        </w:rPr>
        <w:footnoteRef/>
      </w:r>
      <w:r>
        <w:t xml:space="preserve"> </w:t>
      </w:r>
      <w:r w:rsidRPr="00DD0735">
        <w:rPr>
          <w:sz w:val="16"/>
          <w:szCs w:val="16"/>
        </w:rPr>
        <w:t xml:space="preserve">Bilindiği gibi altın ihracat ve ithalatı büyüme oranına değil yalnızca büyümenin alt kalemlerinin katkı oranlarına etki yapıyor. Altın ihracatı net ihracatın büyümeye katkısını yüksek gösterirken, altın stokundaki azalış </w:t>
      </w:r>
      <w:r w:rsidR="00DA2477">
        <w:rPr>
          <w:sz w:val="16"/>
          <w:szCs w:val="16"/>
        </w:rPr>
        <w:t xml:space="preserve">bu </w:t>
      </w:r>
      <w:r w:rsidRPr="00DD0735">
        <w:rPr>
          <w:sz w:val="16"/>
          <w:szCs w:val="16"/>
        </w:rPr>
        <w:t>kalemini düşük gösteriyor.</w:t>
      </w:r>
      <w:r w:rsidRPr="00DD073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4860"/>
    <w:rsid w:val="00004B78"/>
    <w:rsid w:val="0000704D"/>
    <w:rsid w:val="000117B7"/>
    <w:rsid w:val="000144EB"/>
    <w:rsid w:val="000212AC"/>
    <w:rsid w:val="000224B9"/>
    <w:rsid w:val="000233A7"/>
    <w:rsid w:val="00024559"/>
    <w:rsid w:val="00034090"/>
    <w:rsid w:val="00047B99"/>
    <w:rsid w:val="00047E9F"/>
    <w:rsid w:val="0005037D"/>
    <w:rsid w:val="00050453"/>
    <w:rsid w:val="00052D7A"/>
    <w:rsid w:val="00056118"/>
    <w:rsid w:val="00056B3E"/>
    <w:rsid w:val="00061732"/>
    <w:rsid w:val="00064636"/>
    <w:rsid w:val="0006518B"/>
    <w:rsid w:val="00065B3C"/>
    <w:rsid w:val="000716CA"/>
    <w:rsid w:val="00074648"/>
    <w:rsid w:val="00077A9D"/>
    <w:rsid w:val="00077FF4"/>
    <w:rsid w:val="00082FE4"/>
    <w:rsid w:val="000925B3"/>
    <w:rsid w:val="000A292B"/>
    <w:rsid w:val="000A687F"/>
    <w:rsid w:val="000A701D"/>
    <w:rsid w:val="000B1456"/>
    <w:rsid w:val="000B2BF9"/>
    <w:rsid w:val="000B2E92"/>
    <w:rsid w:val="000B325E"/>
    <w:rsid w:val="000B41F3"/>
    <w:rsid w:val="000B50DE"/>
    <w:rsid w:val="000C5B7E"/>
    <w:rsid w:val="000C7B42"/>
    <w:rsid w:val="000D0C5A"/>
    <w:rsid w:val="000D17A2"/>
    <w:rsid w:val="000D1F14"/>
    <w:rsid w:val="000D5927"/>
    <w:rsid w:val="000E10A3"/>
    <w:rsid w:val="000E1F75"/>
    <w:rsid w:val="000E4E83"/>
    <w:rsid w:val="000E5365"/>
    <w:rsid w:val="000E631E"/>
    <w:rsid w:val="000E74B5"/>
    <w:rsid w:val="000E7CBB"/>
    <w:rsid w:val="000F0C2B"/>
    <w:rsid w:val="000F2DB4"/>
    <w:rsid w:val="000F360E"/>
    <w:rsid w:val="000F396D"/>
    <w:rsid w:val="000F4941"/>
    <w:rsid w:val="001105B2"/>
    <w:rsid w:val="00114BC7"/>
    <w:rsid w:val="0012262F"/>
    <w:rsid w:val="001260D7"/>
    <w:rsid w:val="00132E7B"/>
    <w:rsid w:val="001331CB"/>
    <w:rsid w:val="001360D1"/>
    <w:rsid w:val="00141B93"/>
    <w:rsid w:val="00143024"/>
    <w:rsid w:val="00143828"/>
    <w:rsid w:val="00151BCF"/>
    <w:rsid w:val="001553F2"/>
    <w:rsid w:val="0015586B"/>
    <w:rsid w:val="0015676E"/>
    <w:rsid w:val="00156914"/>
    <w:rsid w:val="00157DC2"/>
    <w:rsid w:val="001609FA"/>
    <w:rsid w:val="00161689"/>
    <w:rsid w:val="00162629"/>
    <w:rsid w:val="001632B0"/>
    <w:rsid w:val="001653F9"/>
    <w:rsid w:val="00165C59"/>
    <w:rsid w:val="00165CB0"/>
    <w:rsid w:val="00166FE5"/>
    <w:rsid w:val="00167D69"/>
    <w:rsid w:val="00170CA9"/>
    <w:rsid w:val="00171424"/>
    <w:rsid w:val="00172263"/>
    <w:rsid w:val="00177FE3"/>
    <w:rsid w:val="0018034E"/>
    <w:rsid w:val="00181B5A"/>
    <w:rsid w:val="00183507"/>
    <w:rsid w:val="001938A7"/>
    <w:rsid w:val="0019538C"/>
    <w:rsid w:val="00197ACB"/>
    <w:rsid w:val="001A2051"/>
    <w:rsid w:val="001A2B3D"/>
    <w:rsid w:val="001A528A"/>
    <w:rsid w:val="001B0683"/>
    <w:rsid w:val="001B30E0"/>
    <w:rsid w:val="001B34B5"/>
    <w:rsid w:val="001B3B49"/>
    <w:rsid w:val="001B6AFA"/>
    <w:rsid w:val="001C62D3"/>
    <w:rsid w:val="001D09B1"/>
    <w:rsid w:val="001D1F1B"/>
    <w:rsid w:val="001E0274"/>
    <w:rsid w:val="001E172F"/>
    <w:rsid w:val="001E1AEC"/>
    <w:rsid w:val="001E4BF5"/>
    <w:rsid w:val="001E739D"/>
    <w:rsid w:val="001E7720"/>
    <w:rsid w:val="001F2761"/>
    <w:rsid w:val="001F4CFB"/>
    <w:rsid w:val="001F7144"/>
    <w:rsid w:val="001F71A5"/>
    <w:rsid w:val="001F7216"/>
    <w:rsid w:val="001F775A"/>
    <w:rsid w:val="0020167B"/>
    <w:rsid w:val="00204364"/>
    <w:rsid w:val="00206291"/>
    <w:rsid w:val="00207185"/>
    <w:rsid w:val="002176C5"/>
    <w:rsid w:val="00217D35"/>
    <w:rsid w:val="00223A5B"/>
    <w:rsid w:val="002242A1"/>
    <w:rsid w:val="00224908"/>
    <w:rsid w:val="00225061"/>
    <w:rsid w:val="00231E92"/>
    <w:rsid w:val="00232243"/>
    <w:rsid w:val="0023312F"/>
    <w:rsid w:val="00244B0A"/>
    <w:rsid w:val="00245B1F"/>
    <w:rsid w:val="00251E82"/>
    <w:rsid w:val="002569EA"/>
    <w:rsid w:val="00262020"/>
    <w:rsid w:val="002670FE"/>
    <w:rsid w:val="00267EB4"/>
    <w:rsid w:val="00273E62"/>
    <w:rsid w:val="00277E58"/>
    <w:rsid w:val="002816C6"/>
    <w:rsid w:val="00284A28"/>
    <w:rsid w:val="00291C79"/>
    <w:rsid w:val="00297712"/>
    <w:rsid w:val="002A66ED"/>
    <w:rsid w:val="002B3644"/>
    <w:rsid w:val="002C2DA3"/>
    <w:rsid w:val="002C4200"/>
    <w:rsid w:val="002C49EC"/>
    <w:rsid w:val="002C5F2D"/>
    <w:rsid w:val="002D2F1A"/>
    <w:rsid w:val="002D3C8B"/>
    <w:rsid w:val="002D4158"/>
    <w:rsid w:val="002E1EA4"/>
    <w:rsid w:val="002E6E82"/>
    <w:rsid w:val="002E7860"/>
    <w:rsid w:val="002F3718"/>
    <w:rsid w:val="002F4648"/>
    <w:rsid w:val="002F5134"/>
    <w:rsid w:val="002F5C24"/>
    <w:rsid w:val="002F61A9"/>
    <w:rsid w:val="00303A3C"/>
    <w:rsid w:val="003044A5"/>
    <w:rsid w:val="003051E6"/>
    <w:rsid w:val="0031043B"/>
    <w:rsid w:val="003118F7"/>
    <w:rsid w:val="00312DB8"/>
    <w:rsid w:val="003134C3"/>
    <w:rsid w:val="003142BA"/>
    <w:rsid w:val="00316CE9"/>
    <w:rsid w:val="00316DB4"/>
    <w:rsid w:val="003171AF"/>
    <w:rsid w:val="003208B4"/>
    <w:rsid w:val="003223B0"/>
    <w:rsid w:val="00323169"/>
    <w:rsid w:val="00323CA6"/>
    <w:rsid w:val="00324A91"/>
    <w:rsid w:val="003269F7"/>
    <w:rsid w:val="00332DBD"/>
    <w:rsid w:val="00333B98"/>
    <w:rsid w:val="0033606E"/>
    <w:rsid w:val="00337AE5"/>
    <w:rsid w:val="00341195"/>
    <w:rsid w:val="0034251A"/>
    <w:rsid w:val="00342E6B"/>
    <w:rsid w:val="00344555"/>
    <w:rsid w:val="0034543C"/>
    <w:rsid w:val="003466B0"/>
    <w:rsid w:val="0035343B"/>
    <w:rsid w:val="003545A8"/>
    <w:rsid w:val="003552A4"/>
    <w:rsid w:val="00356020"/>
    <w:rsid w:val="00357ECC"/>
    <w:rsid w:val="003622FF"/>
    <w:rsid w:val="00362436"/>
    <w:rsid w:val="00374791"/>
    <w:rsid w:val="00375126"/>
    <w:rsid w:val="00376AC1"/>
    <w:rsid w:val="0038488E"/>
    <w:rsid w:val="00385F45"/>
    <w:rsid w:val="00390136"/>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C3188"/>
    <w:rsid w:val="003C640D"/>
    <w:rsid w:val="003C6B2C"/>
    <w:rsid w:val="003C6C41"/>
    <w:rsid w:val="003C7051"/>
    <w:rsid w:val="003D0E64"/>
    <w:rsid w:val="003D7D0B"/>
    <w:rsid w:val="003D7E7F"/>
    <w:rsid w:val="003F1E42"/>
    <w:rsid w:val="003F503B"/>
    <w:rsid w:val="003F7185"/>
    <w:rsid w:val="00402158"/>
    <w:rsid w:val="004074ED"/>
    <w:rsid w:val="00414443"/>
    <w:rsid w:val="00417568"/>
    <w:rsid w:val="00421D0B"/>
    <w:rsid w:val="004229DE"/>
    <w:rsid w:val="004239AE"/>
    <w:rsid w:val="00423E8F"/>
    <w:rsid w:val="004251B6"/>
    <w:rsid w:val="004259B8"/>
    <w:rsid w:val="00432F82"/>
    <w:rsid w:val="00435FF5"/>
    <w:rsid w:val="004441AD"/>
    <w:rsid w:val="00444DA6"/>
    <w:rsid w:val="004466EA"/>
    <w:rsid w:val="00453D77"/>
    <w:rsid w:val="00454965"/>
    <w:rsid w:val="00461612"/>
    <w:rsid w:val="0046178B"/>
    <w:rsid w:val="00462314"/>
    <w:rsid w:val="0046362C"/>
    <w:rsid w:val="00463BBF"/>
    <w:rsid w:val="00466C2F"/>
    <w:rsid w:val="00474D75"/>
    <w:rsid w:val="004814F0"/>
    <w:rsid w:val="00482771"/>
    <w:rsid w:val="00483C58"/>
    <w:rsid w:val="00484222"/>
    <w:rsid w:val="004A4E4F"/>
    <w:rsid w:val="004A7FE6"/>
    <w:rsid w:val="004B30FB"/>
    <w:rsid w:val="004B3F80"/>
    <w:rsid w:val="004B40EE"/>
    <w:rsid w:val="004C0A8D"/>
    <w:rsid w:val="004C25F6"/>
    <w:rsid w:val="004D100D"/>
    <w:rsid w:val="004D3F5D"/>
    <w:rsid w:val="004D67C5"/>
    <w:rsid w:val="004D7E65"/>
    <w:rsid w:val="004E00D0"/>
    <w:rsid w:val="004E07DC"/>
    <w:rsid w:val="004E0851"/>
    <w:rsid w:val="004E1AE2"/>
    <w:rsid w:val="00505141"/>
    <w:rsid w:val="005066A2"/>
    <w:rsid w:val="00506CD9"/>
    <w:rsid w:val="00511EF3"/>
    <w:rsid w:val="00512AE9"/>
    <w:rsid w:val="00513FBF"/>
    <w:rsid w:val="0051750C"/>
    <w:rsid w:val="00522063"/>
    <w:rsid w:val="00522ED0"/>
    <w:rsid w:val="00523C58"/>
    <w:rsid w:val="0052557E"/>
    <w:rsid w:val="00526CC9"/>
    <w:rsid w:val="0052770E"/>
    <w:rsid w:val="005310F8"/>
    <w:rsid w:val="00535BAD"/>
    <w:rsid w:val="00536B3B"/>
    <w:rsid w:val="00537DBB"/>
    <w:rsid w:val="005435C8"/>
    <w:rsid w:val="00543E56"/>
    <w:rsid w:val="005470EC"/>
    <w:rsid w:val="00556328"/>
    <w:rsid w:val="00563399"/>
    <w:rsid w:val="00571282"/>
    <w:rsid w:val="00573C3B"/>
    <w:rsid w:val="0058722C"/>
    <w:rsid w:val="0058799A"/>
    <w:rsid w:val="00587F62"/>
    <w:rsid w:val="00593B80"/>
    <w:rsid w:val="005A06D3"/>
    <w:rsid w:val="005A0AF8"/>
    <w:rsid w:val="005A2B2E"/>
    <w:rsid w:val="005A3E49"/>
    <w:rsid w:val="005B5D93"/>
    <w:rsid w:val="005C0A9A"/>
    <w:rsid w:val="005C28BC"/>
    <w:rsid w:val="005C2A01"/>
    <w:rsid w:val="005C4EA4"/>
    <w:rsid w:val="005D0287"/>
    <w:rsid w:val="005D39F3"/>
    <w:rsid w:val="005D7E62"/>
    <w:rsid w:val="005E13DF"/>
    <w:rsid w:val="005E1D9A"/>
    <w:rsid w:val="005E2983"/>
    <w:rsid w:val="005F03CC"/>
    <w:rsid w:val="005F2063"/>
    <w:rsid w:val="005F2279"/>
    <w:rsid w:val="005F2A5B"/>
    <w:rsid w:val="005F31BE"/>
    <w:rsid w:val="005F700B"/>
    <w:rsid w:val="006015A3"/>
    <w:rsid w:val="00602EB0"/>
    <w:rsid w:val="00603C6D"/>
    <w:rsid w:val="00605322"/>
    <w:rsid w:val="006079B9"/>
    <w:rsid w:val="006120FF"/>
    <w:rsid w:val="00613A11"/>
    <w:rsid w:val="00613B72"/>
    <w:rsid w:val="0062291A"/>
    <w:rsid w:val="00623B31"/>
    <w:rsid w:val="0062575D"/>
    <w:rsid w:val="0063164E"/>
    <w:rsid w:val="00634907"/>
    <w:rsid w:val="0064166F"/>
    <w:rsid w:val="00643C4C"/>
    <w:rsid w:val="00647676"/>
    <w:rsid w:val="006502E3"/>
    <w:rsid w:val="00657CCF"/>
    <w:rsid w:val="0066619C"/>
    <w:rsid w:val="006713C0"/>
    <w:rsid w:val="006717CE"/>
    <w:rsid w:val="00676D51"/>
    <w:rsid w:val="00676EAB"/>
    <w:rsid w:val="006836A7"/>
    <w:rsid w:val="00683A24"/>
    <w:rsid w:val="00691D96"/>
    <w:rsid w:val="00693B96"/>
    <w:rsid w:val="00695F24"/>
    <w:rsid w:val="0069776E"/>
    <w:rsid w:val="006A507F"/>
    <w:rsid w:val="006A53AA"/>
    <w:rsid w:val="006A7193"/>
    <w:rsid w:val="006B08B4"/>
    <w:rsid w:val="006B12C5"/>
    <w:rsid w:val="006B2978"/>
    <w:rsid w:val="006B6367"/>
    <w:rsid w:val="006C2AB7"/>
    <w:rsid w:val="006C6C6F"/>
    <w:rsid w:val="006C74FB"/>
    <w:rsid w:val="006E0C79"/>
    <w:rsid w:val="006E3384"/>
    <w:rsid w:val="006E480B"/>
    <w:rsid w:val="006E5E68"/>
    <w:rsid w:val="006F1A82"/>
    <w:rsid w:val="006F2049"/>
    <w:rsid w:val="006F278A"/>
    <w:rsid w:val="006F33D4"/>
    <w:rsid w:val="006F7FE6"/>
    <w:rsid w:val="007014BE"/>
    <w:rsid w:val="007016C1"/>
    <w:rsid w:val="00701A0C"/>
    <w:rsid w:val="007067F4"/>
    <w:rsid w:val="007103A2"/>
    <w:rsid w:val="007169B6"/>
    <w:rsid w:val="00724574"/>
    <w:rsid w:val="0072768C"/>
    <w:rsid w:val="00745E22"/>
    <w:rsid w:val="00747A9B"/>
    <w:rsid w:val="0075074A"/>
    <w:rsid w:val="007522D9"/>
    <w:rsid w:val="00752330"/>
    <w:rsid w:val="00753469"/>
    <w:rsid w:val="0075405B"/>
    <w:rsid w:val="0075696F"/>
    <w:rsid w:val="007633AA"/>
    <w:rsid w:val="00767D6E"/>
    <w:rsid w:val="00770580"/>
    <w:rsid w:val="00770D1C"/>
    <w:rsid w:val="007750EF"/>
    <w:rsid w:val="00783C9A"/>
    <w:rsid w:val="007956C2"/>
    <w:rsid w:val="00797B31"/>
    <w:rsid w:val="007A311A"/>
    <w:rsid w:val="007A35F3"/>
    <w:rsid w:val="007A36DD"/>
    <w:rsid w:val="007A69DC"/>
    <w:rsid w:val="007B19BC"/>
    <w:rsid w:val="007B51E3"/>
    <w:rsid w:val="007C3C2B"/>
    <w:rsid w:val="007C3C78"/>
    <w:rsid w:val="007D02A6"/>
    <w:rsid w:val="007D0625"/>
    <w:rsid w:val="007D3176"/>
    <w:rsid w:val="007D5551"/>
    <w:rsid w:val="007D745B"/>
    <w:rsid w:val="007E10C4"/>
    <w:rsid w:val="007E182F"/>
    <w:rsid w:val="007E1D25"/>
    <w:rsid w:val="007E5E9A"/>
    <w:rsid w:val="007E6A0D"/>
    <w:rsid w:val="007F1E8F"/>
    <w:rsid w:val="007F50E5"/>
    <w:rsid w:val="0080434E"/>
    <w:rsid w:val="00807D3E"/>
    <w:rsid w:val="00815549"/>
    <w:rsid w:val="00816C3F"/>
    <w:rsid w:val="00817438"/>
    <w:rsid w:val="00820F9B"/>
    <w:rsid w:val="00821B78"/>
    <w:rsid w:val="00822C11"/>
    <w:rsid w:val="00825F84"/>
    <w:rsid w:val="0082670B"/>
    <w:rsid w:val="00826C7D"/>
    <w:rsid w:val="00826E1D"/>
    <w:rsid w:val="00830339"/>
    <w:rsid w:val="008332DD"/>
    <w:rsid w:val="00833B68"/>
    <w:rsid w:val="0084320B"/>
    <w:rsid w:val="008432FC"/>
    <w:rsid w:val="008446FE"/>
    <w:rsid w:val="00844E5B"/>
    <w:rsid w:val="00856509"/>
    <w:rsid w:val="00860D72"/>
    <w:rsid w:val="00860E25"/>
    <w:rsid w:val="00862B92"/>
    <w:rsid w:val="00864323"/>
    <w:rsid w:val="008651A8"/>
    <w:rsid w:val="00885634"/>
    <w:rsid w:val="00885D0C"/>
    <w:rsid w:val="00892423"/>
    <w:rsid w:val="008A0F64"/>
    <w:rsid w:val="008A34AA"/>
    <w:rsid w:val="008A38AB"/>
    <w:rsid w:val="008A74B0"/>
    <w:rsid w:val="008B0C8D"/>
    <w:rsid w:val="008B20AA"/>
    <w:rsid w:val="008B372B"/>
    <w:rsid w:val="008C0DBE"/>
    <w:rsid w:val="008C17F4"/>
    <w:rsid w:val="008C2D77"/>
    <w:rsid w:val="008C6252"/>
    <w:rsid w:val="008C6E50"/>
    <w:rsid w:val="008D3976"/>
    <w:rsid w:val="008E63CB"/>
    <w:rsid w:val="008F4166"/>
    <w:rsid w:val="008F6889"/>
    <w:rsid w:val="009014BB"/>
    <w:rsid w:val="00901532"/>
    <w:rsid w:val="00903097"/>
    <w:rsid w:val="00905111"/>
    <w:rsid w:val="00906149"/>
    <w:rsid w:val="00910940"/>
    <w:rsid w:val="009125B5"/>
    <w:rsid w:val="00914DE2"/>
    <w:rsid w:val="009158BC"/>
    <w:rsid w:val="00916619"/>
    <w:rsid w:val="00922C21"/>
    <w:rsid w:val="00923AE7"/>
    <w:rsid w:val="00924D1B"/>
    <w:rsid w:val="0092546B"/>
    <w:rsid w:val="00934BE6"/>
    <w:rsid w:val="00935355"/>
    <w:rsid w:val="00936426"/>
    <w:rsid w:val="00946822"/>
    <w:rsid w:val="00947DB1"/>
    <w:rsid w:val="00966E7C"/>
    <w:rsid w:val="00970E4E"/>
    <w:rsid w:val="00971D26"/>
    <w:rsid w:val="00973503"/>
    <w:rsid w:val="0097445D"/>
    <w:rsid w:val="009805A1"/>
    <w:rsid w:val="00985C16"/>
    <w:rsid w:val="00987648"/>
    <w:rsid w:val="00990455"/>
    <w:rsid w:val="00993F8D"/>
    <w:rsid w:val="00995F40"/>
    <w:rsid w:val="009A1DF2"/>
    <w:rsid w:val="009A6149"/>
    <w:rsid w:val="009A67E1"/>
    <w:rsid w:val="009B2429"/>
    <w:rsid w:val="009B2569"/>
    <w:rsid w:val="009B3130"/>
    <w:rsid w:val="009B43D6"/>
    <w:rsid w:val="009C1700"/>
    <w:rsid w:val="009C5B58"/>
    <w:rsid w:val="009D1323"/>
    <w:rsid w:val="009D24A5"/>
    <w:rsid w:val="009D30C5"/>
    <w:rsid w:val="009D3B55"/>
    <w:rsid w:val="009D42E8"/>
    <w:rsid w:val="009E2A57"/>
    <w:rsid w:val="009F0111"/>
    <w:rsid w:val="009F44C0"/>
    <w:rsid w:val="009F48FB"/>
    <w:rsid w:val="00A005E9"/>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4179"/>
    <w:rsid w:val="00A24957"/>
    <w:rsid w:val="00A31CEE"/>
    <w:rsid w:val="00A35FDD"/>
    <w:rsid w:val="00A42300"/>
    <w:rsid w:val="00A43507"/>
    <w:rsid w:val="00A44366"/>
    <w:rsid w:val="00A52995"/>
    <w:rsid w:val="00A5424F"/>
    <w:rsid w:val="00A56C6E"/>
    <w:rsid w:val="00A60D5C"/>
    <w:rsid w:val="00A61240"/>
    <w:rsid w:val="00A61A84"/>
    <w:rsid w:val="00A648F9"/>
    <w:rsid w:val="00A656AC"/>
    <w:rsid w:val="00A662DE"/>
    <w:rsid w:val="00A67A86"/>
    <w:rsid w:val="00A67D34"/>
    <w:rsid w:val="00A71B18"/>
    <w:rsid w:val="00A722FD"/>
    <w:rsid w:val="00A7254E"/>
    <w:rsid w:val="00A737F4"/>
    <w:rsid w:val="00A73F6B"/>
    <w:rsid w:val="00A759A9"/>
    <w:rsid w:val="00A75A46"/>
    <w:rsid w:val="00A82A89"/>
    <w:rsid w:val="00A84CEC"/>
    <w:rsid w:val="00A84F85"/>
    <w:rsid w:val="00A85028"/>
    <w:rsid w:val="00A86049"/>
    <w:rsid w:val="00A946B4"/>
    <w:rsid w:val="00A94A4A"/>
    <w:rsid w:val="00A95141"/>
    <w:rsid w:val="00A9533A"/>
    <w:rsid w:val="00A95966"/>
    <w:rsid w:val="00A9596F"/>
    <w:rsid w:val="00A95AFE"/>
    <w:rsid w:val="00AA2CBB"/>
    <w:rsid w:val="00AB039C"/>
    <w:rsid w:val="00AB1830"/>
    <w:rsid w:val="00AB3495"/>
    <w:rsid w:val="00AB621E"/>
    <w:rsid w:val="00AC042A"/>
    <w:rsid w:val="00AC1F06"/>
    <w:rsid w:val="00AC35DA"/>
    <w:rsid w:val="00AC6123"/>
    <w:rsid w:val="00AD17F9"/>
    <w:rsid w:val="00AD261F"/>
    <w:rsid w:val="00AD3B9A"/>
    <w:rsid w:val="00AE3819"/>
    <w:rsid w:val="00AF0A2F"/>
    <w:rsid w:val="00AF2D7A"/>
    <w:rsid w:val="00AF34E9"/>
    <w:rsid w:val="00AF418F"/>
    <w:rsid w:val="00AF501D"/>
    <w:rsid w:val="00AF5731"/>
    <w:rsid w:val="00B03004"/>
    <w:rsid w:val="00B14F53"/>
    <w:rsid w:val="00B169C6"/>
    <w:rsid w:val="00B17F4D"/>
    <w:rsid w:val="00B20A56"/>
    <w:rsid w:val="00B22E31"/>
    <w:rsid w:val="00B25C94"/>
    <w:rsid w:val="00B260EF"/>
    <w:rsid w:val="00B313E6"/>
    <w:rsid w:val="00B377EE"/>
    <w:rsid w:val="00B41700"/>
    <w:rsid w:val="00B46473"/>
    <w:rsid w:val="00B503A1"/>
    <w:rsid w:val="00B546A7"/>
    <w:rsid w:val="00B63DCD"/>
    <w:rsid w:val="00B66C47"/>
    <w:rsid w:val="00B678AE"/>
    <w:rsid w:val="00B734A4"/>
    <w:rsid w:val="00B7373D"/>
    <w:rsid w:val="00B7481B"/>
    <w:rsid w:val="00B7575B"/>
    <w:rsid w:val="00B75E88"/>
    <w:rsid w:val="00B76583"/>
    <w:rsid w:val="00B818D8"/>
    <w:rsid w:val="00B8309A"/>
    <w:rsid w:val="00B8531E"/>
    <w:rsid w:val="00B85CE5"/>
    <w:rsid w:val="00B90BA8"/>
    <w:rsid w:val="00B95352"/>
    <w:rsid w:val="00B96EF2"/>
    <w:rsid w:val="00BA025C"/>
    <w:rsid w:val="00BA05C3"/>
    <w:rsid w:val="00BA3190"/>
    <w:rsid w:val="00BA5D76"/>
    <w:rsid w:val="00BA7AE8"/>
    <w:rsid w:val="00BB0F72"/>
    <w:rsid w:val="00BC30A4"/>
    <w:rsid w:val="00BD0A78"/>
    <w:rsid w:val="00BD317C"/>
    <w:rsid w:val="00BD56EA"/>
    <w:rsid w:val="00BD571A"/>
    <w:rsid w:val="00BD63F8"/>
    <w:rsid w:val="00BD6CAF"/>
    <w:rsid w:val="00BE153E"/>
    <w:rsid w:val="00BE15F2"/>
    <w:rsid w:val="00BE505A"/>
    <w:rsid w:val="00BF1AF8"/>
    <w:rsid w:val="00BF236B"/>
    <w:rsid w:val="00BF3950"/>
    <w:rsid w:val="00BF446B"/>
    <w:rsid w:val="00BF4FCC"/>
    <w:rsid w:val="00BF74A4"/>
    <w:rsid w:val="00BF79CD"/>
    <w:rsid w:val="00C01643"/>
    <w:rsid w:val="00C144C8"/>
    <w:rsid w:val="00C15A9A"/>
    <w:rsid w:val="00C16CFB"/>
    <w:rsid w:val="00C2241D"/>
    <w:rsid w:val="00C2696C"/>
    <w:rsid w:val="00C34369"/>
    <w:rsid w:val="00C37220"/>
    <w:rsid w:val="00C37AB3"/>
    <w:rsid w:val="00C41CA4"/>
    <w:rsid w:val="00C43F2E"/>
    <w:rsid w:val="00C45FC0"/>
    <w:rsid w:val="00C466DC"/>
    <w:rsid w:val="00C523A6"/>
    <w:rsid w:val="00C54FB9"/>
    <w:rsid w:val="00C602D7"/>
    <w:rsid w:val="00C61305"/>
    <w:rsid w:val="00C62404"/>
    <w:rsid w:val="00C64881"/>
    <w:rsid w:val="00C656AE"/>
    <w:rsid w:val="00C66780"/>
    <w:rsid w:val="00C674EC"/>
    <w:rsid w:val="00C7136A"/>
    <w:rsid w:val="00C71602"/>
    <w:rsid w:val="00C71A7C"/>
    <w:rsid w:val="00C72130"/>
    <w:rsid w:val="00C74078"/>
    <w:rsid w:val="00C7614F"/>
    <w:rsid w:val="00C76273"/>
    <w:rsid w:val="00C76560"/>
    <w:rsid w:val="00C86DB6"/>
    <w:rsid w:val="00C86E29"/>
    <w:rsid w:val="00C9025C"/>
    <w:rsid w:val="00C916B2"/>
    <w:rsid w:val="00C91E59"/>
    <w:rsid w:val="00C97E2D"/>
    <w:rsid w:val="00CA1407"/>
    <w:rsid w:val="00CA6DDE"/>
    <w:rsid w:val="00CA7888"/>
    <w:rsid w:val="00CB1C91"/>
    <w:rsid w:val="00CB3495"/>
    <w:rsid w:val="00CB630B"/>
    <w:rsid w:val="00CB6878"/>
    <w:rsid w:val="00CC26C6"/>
    <w:rsid w:val="00CC41EB"/>
    <w:rsid w:val="00CC6F25"/>
    <w:rsid w:val="00CC706E"/>
    <w:rsid w:val="00CD11E2"/>
    <w:rsid w:val="00CD3014"/>
    <w:rsid w:val="00CD3056"/>
    <w:rsid w:val="00CD7FBD"/>
    <w:rsid w:val="00CE14FE"/>
    <w:rsid w:val="00CE2137"/>
    <w:rsid w:val="00CE3AF5"/>
    <w:rsid w:val="00CE4C78"/>
    <w:rsid w:val="00CF0733"/>
    <w:rsid w:val="00CF5055"/>
    <w:rsid w:val="00CF715C"/>
    <w:rsid w:val="00CF7322"/>
    <w:rsid w:val="00D00F45"/>
    <w:rsid w:val="00D00FC4"/>
    <w:rsid w:val="00D04A8E"/>
    <w:rsid w:val="00D0799D"/>
    <w:rsid w:val="00D1089B"/>
    <w:rsid w:val="00D126AA"/>
    <w:rsid w:val="00D13D16"/>
    <w:rsid w:val="00D15819"/>
    <w:rsid w:val="00D26305"/>
    <w:rsid w:val="00D312D4"/>
    <w:rsid w:val="00D33A36"/>
    <w:rsid w:val="00D367E4"/>
    <w:rsid w:val="00D4227C"/>
    <w:rsid w:val="00D43E2F"/>
    <w:rsid w:val="00D44267"/>
    <w:rsid w:val="00D52BBE"/>
    <w:rsid w:val="00D535DB"/>
    <w:rsid w:val="00D55853"/>
    <w:rsid w:val="00D56E97"/>
    <w:rsid w:val="00D570F9"/>
    <w:rsid w:val="00D63675"/>
    <w:rsid w:val="00D65B9A"/>
    <w:rsid w:val="00D674E0"/>
    <w:rsid w:val="00D67D51"/>
    <w:rsid w:val="00D70B42"/>
    <w:rsid w:val="00D7243C"/>
    <w:rsid w:val="00D7792C"/>
    <w:rsid w:val="00D830C4"/>
    <w:rsid w:val="00D837A8"/>
    <w:rsid w:val="00D84C4A"/>
    <w:rsid w:val="00D91A6A"/>
    <w:rsid w:val="00D93383"/>
    <w:rsid w:val="00D9715E"/>
    <w:rsid w:val="00DA2477"/>
    <w:rsid w:val="00DA702F"/>
    <w:rsid w:val="00DA764E"/>
    <w:rsid w:val="00DB00CB"/>
    <w:rsid w:val="00DB1E70"/>
    <w:rsid w:val="00DB3357"/>
    <w:rsid w:val="00DB5C1A"/>
    <w:rsid w:val="00DC0405"/>
    <w:rsid w:val="00DC091F"/>
    <w:rsid w:val="00DC1D93"/>
    <w:rsid w:val="00DC549D"/>
    <w:rsid w:val="00DD0735"/>
    <w:rsid w:val="00DD473D"/>
    <w:rsid w:val="00DD531F"/>
    <w:rsid w:val="00DD6811"/>
    <w:rsid w:val="00DE24A1"/>
    <w:rsid w:val="00DF296A"/>
    <w:rsid w:val="00DF3B71"/>
    <w:rsid w:val="00DF4B59"/>
    <w:rsid w:val="00DF5714"/>
    <w:rsid w:val="00DF681E"/>
    <w:rsid w:val="00E00A2B"/>
    <w:rsid w:val="00E027F3"/>
    <w:rsid w:val="00E0294F"/>
    <w:rsid w:val="00E032DD"/>
    <w:rsid w:val="00E03533"/>
    <w:rsid w:val="00E0362D"/>
    <w:rsid w:val="00E10712"/>
    <w:rsid w:val="00E23E58"/>
    <w:rsid w:val="00E24026"/>
    <w:rsid w:val="00E33043"/>
    <w:rsid w:val="00E47905"/>
    <w:rsid w:val="00E5304A"/>
    <w:rsid w:val="00E5462B"/>
    <w:rsid w:val="00E55275"/>
    <w:rsid w:val="00E60FC8"/>
    <w:rsid w:val="00E651A3"/>
    <w:rsid w:val="00E651DE"/>
    <w:rsid w:val="00E666C1"/>
    <w:rsid w:val="00E702BA"/>
    <w:rsid w:val="00E70A5E"/>
    <w:rsid w:val="00E72307"/>
    <w:rsid w:val="00E72EB0"/>
    <w:rsid w:val="00E74B0A"/>
    <w:rsid w:val="00E7627C"/>
    <w:rsid w:val="00E764C2"/>
    <w:rsid w:val="00E817A2"/>
    <w:rsid w:val="00E82B03"/>
    <w:rsid w:val="00E84728"/>
    <w:rsid w:val="00E8610D"/>
    <w:rsid w:val="00E9147A"/>
    <w:rsid w:val="00E9440E"/>
    <w:rsid w:val="00E94945"/>
    <w:rsid w:val="00E96583"/>
    <w:rsid w:val="00EA6751"/>
    <w:rsid w:val="00EB4482"/>
    <w:rsid w:val="00EB49A5"/>
    <w:rsid w:val="00EB5496"/>
    <w:rsid w:val="00EB5C55"/>
    <w:rsid w:val="00EB5E9B"/>
    <w:rsid w:val="00EB7CE3"/>
    <w:rsid w:val="00EC248D"/>
    <w:rsid w:val="00EC4125"/>
    <w:rsid w:val="00EC4648"/>
    <w:rsid w:val="00ED17DF"/>
    <w:rsid w:val="00ED2B78"/>
    <w:rsid w:val="00ED64F0"/>
    <w:rsid w:val="00ED7A5F"/>
    <w:rsid w:val="00EE22FB"/>
    <w:rsid w:val="00EE435F"/>
    <w:rsid w:val="00EE777A"/>
    <w:rsid w:val="00EF1FB2"/>
    <w:rsid w:val="00EF5035"/>
    <w:rsid w:val="00F062AF"/>
    <w:rsid w:val="00F06960"/>
    <w:rsid w:val="00F104FE"/>
    <w:rsid w:val="00F12CB3"/>
    <w:rsid w:val="00F12FF6"/>
    <w:rsid w:val="00F312EE"/>
    <w:rsid w:val="00F34491"/>
    <w:rsid w:val="00F37B3A"/>
    <w:rsid w:val="00F437F0"/>
    <w:rsid w:val="00F5252A"/>
    <w:rsid w:val="00F55025"/>
    <w:rsid w:val="00F56F34"/>
    <w:rsid w:val="00F5769D"/>
    <w:rsid w:val="00F65107"/>
    <w:rsid w:val="00F651A0"/>
    <w:rsid w:val="00F6557A"/>
    <w:rsid w:val="00F6592D"/>
    <w:rsid w:val="00F742C9"/>
    <w:rsid w:val="00F75BFF"/>
    <w:rsid w:val="00F837BB"/>
    <w:rsid w:val="00F83E3C"/>
    <w:rsid w:val="00F853BF"/>
    <w:rsid w:val="00F86020"/>
    <w:rsid w:val="00F97DA6"/>
    <w:rsid w:val="00FA01C6"/>
    <w:rsid w:val="00FA1735"/>
    <w:rsid w:val="00FA79B3"/>
    <w:rsid w:val="00FB4B87"/>
    <w:rsid w:val="00FC0700"/>
    <w:rsid w:val="00FC2F6E"/>
    <w:rsid w:val="00FC36DC"/>
    <w:rsid w:val="00FC4DB4"/>
    <w:rsid w:val="00FC611D"/>
    <w:rsid w:val="00FC7EAB"/>
    <w:rsid w:val="00FD02FB"/>
    <w:rsid w:val="00FD213A"/>
    <w:rsid w:val="00FD37B4"/>
    <w:rsid w:val="00FD3AB3"/>
    <w:rsid w:val="00FE0BEA"/>
    <w:rsid w:val="00FE1C93"/>
    <w:rsid w:val="00FF5C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Balk1">
    <w:name w:val="heading 1"/>
    <w:basedOn w:val="Normal"/>
    <w:next w:val="Normal"/>
    <w:link w:val="Balk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E1AEC"/>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1E1AEC"/>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1E1AEC"/>
    <w:rPr>
      <w:rFonts w:ascii="Cambria" w:hAnsi="Cambria" w:cs="Cambria"/>
      <w:b/>
      <w:bCs/>
      <w:sz w:val="26"/>
      <w:szCs w:val="26"/>
    </w:rPr>
  </w:style>
  <w:style w:type="table" w:styleId="TabloKlavuzu">
    <w:name w:val="Table Grid"/>
    <w:basedOn w:val="NormalTablo"/>
    <w:uiPriority w:val="99"/>
    <w:rsid w:val="00197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customStyle="1" w:styleId="DipnotMetniChar">
    <w:name w:val="Dipnot Metni Char"/>
    <w:basedOn w:val="VarsaylanParagrafYazTipi"/>
    <w:link w:val="DipnotMetni"/>
    <w:uiPriority w:val="99"/>
    <w:semiHidden/>
    <w:locked/>
    <w:rsid w:val="00522063"/>
    <w:rPr>
      <w:lang w:val="tr-TR" w:eastAsia="tr-TR"/>
    </w:rPr>
  </w:style>
  <w:style w:type="character" w:styleId="DipnotBavurusu">
    <w:name w:val="footnote reference"/>
    <w:basedOn w:val="VarsaylanParagrafYazTipi"/>
    <w:uiPriority w:val="99"/>
    <w:semiHidden/>
    <w:rsid w:val="00D0799D"/>
    <w:rPr>
      <w:vertAlign w:val="superscript"/>
    </w:rPr>
  </w:style>
  <w:style w:type="character" w:styleId="Kpr">
    <w:name w:val="Hyperlink"/>
    <w:basedOn w:val="VarsaylanParagrafYazTipi"/>
    <w:uiPriority w:val="99"/>
    <w:rsid w:val="007522D9"/>
    <w:rPr>
      <w:color w:val="0000FF"/>
      <w:u w:val="single"/>
    </w:rPr>
  </w:style>
  <w:style w:type="paragraph" w:styleId="Altbilgi">
    <w:name w:val="footer"/>
    <w:basedOn w:val="Normal"/>
    <w:link w:val="AltbilgiChar"/>
    <w:uiPriority w:val="99"/>
    <w:rsid w:val="007B51E3"/>
    <w:pPr>
      <w:tabs>
        <w:tab w:val="center" w:pos="4536"/>
        <w:tab w:val="right" w:pos="9072"/>
      </w:tabs>
    </w:pPr>
  </w:style>
  <w:style w:type="character" w:customStyle="1" w:styleId="AltbilgiChar">
    <w:name w:val="Altbilgi Char"/>
    <w:basedOn w:val="VarsaylanParagrafYazTipi"/>
    <w:link w:val="Altbilgi"/>
    <w:uiPriority w:val="99"/>
    <w:semiHidden/>
    <w:locked/>
    <w:rsid w:val="001E1AEC"/>
    <w:rPr>
      <w:sz w:val="24"/>
      <w:szCs w:val="24"/>
    </w:rPr>
  </w:style>
  <w:style w:type="character" w:styleId="SayfaNumaras">
    <w:name w:val="page number"/>
    <w:basedOn w:val="VarsaylanParagrafYazTipi"/>
    <w:uiPriority w:val="99"/>
    <w:rsid w:val="007B51E3"/>
  </w:style>
  <w:style w:type="paragraph" w:styleId="stbilgi">
    <w:name w:val="header"/>
    <w:basedOn w:val="Normal"/>
    <w:link w:val="stbilgiChar"/>
    <w:uiPriority w:val="99"/>
    <w:rsid w:val="007B51E3"/>
    <w:pPr>
      <w:tabs>
        <w:tab w:val="center" w:pos="4536"/>
        <w:tab w:val="right" w:pos="9072"/>
      </w:tabs>
    </w:pPr>
  </w:style>
  <w:style w:type="character" w:customStyle="1" w:styleId="stbilgiChar">
    <w:name w:val="Üstbilgi Char"/>
    <w:basedOn w:val="VarsaylanParagrafYazTipi"/>
    <w:link w:val="stbilgi"/>
    <w:uiPriority w:val="99"/>
    <w:semiHidden/>
    <w:locked/>
    <w:rsid w:val="001E1AEC"/>
    <w:rPr>
      <w:sz w:val="24"/>
      <w:szCs w:val="24"/>
    </w:rPr>
  </w:style>
  <w:style w:type="paragraph" w:styleId="BalonMetni">
    <w:name w:val="Balloon Text"/>
    <w:basedOn w:val="Normal"/>
    <w:link w:val="BalonMetniChar"/>
    <w:uiPriority w:val="99"/>
    <w:semiHidden/>
    <w:rsid w:val="00526CC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E1AEC"/>
    <w:rPr>
      <w:sz w:val="2"/>
      <w:szCs w:val="2"/>
    </w:rPr>
  </w:style>
  <w:style w:type="character" w:styleId="SatrNumaras">
    <w:name w:val="line number"/>
    <w:basedOn w:val="VarsaylanParagrafYazTipi"/>
    <w:uiPriority w:val="99"/>
    <w:semiHidden/>
    <w:rsid w:val="000F0C2B"/>
  </w:style>
</w:styles>
</file>

<file path=word/webSettings.xml><?xml version="1.0" encoding="utf-8"?>
<w:webSettings xmlns:r="http://schemas.openxmlformats.org/officeDocument/2006/relationships" xmlns:w="http://schemas.openxmlformats.org/wordprocessingml/2006/main">
  <w:divs>
    <w:div w:id="1949969370">
      <w:marLeft w:val="0"/>
      <w:marRight w:val="0"/>
      <w:marTop w:val="0"/>
      <w:marBottom w:val="0"/>
      <w:divBdr>
        <w:top w:val="none" w:sz="0" w:space="0" w:color="auto"/>
        <w:left w:val="none" w:sz="0" w:space="0" w:color="auto"/>
        <w:bottom w:val="none" w:sz="0" w:space="0" w:color="auto"/>
        <w:right w:val="none" w:sz="0" w:space="0" w:color="auto"/>
      </w:divBdr>
    </w:div>
    <w:div w:id="1949969371">
      <w:marLeft w:val="0"/>
      <w:marRight w:val="0"/>
      <w:marTop w:val="0"/>
      <w:marBottom w:val="0"/>
      <w:divBdr>
        <w:top w:val="none" w:sz="0" w:space="0" w:color="auto"/>
        <w:left w:val="none" w:sz="0" w:space="0" w:color="auto"/>
        <w:bottom w:val="none" w:sz="0" w:space="0" w:color="auto"/>
        <w:right w:val="none" w:sz="0" w:space="0" w:color="auto"/>
      </w:divBdr>
    </w:div>
    <w:div w:id="194996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zumrut.imamoglu@bahcesehir.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5F15-333C-418E-B979-08033461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oş</vt:lpstr>
    </vt:vector>
  </TitlesOfParts>
  <Company>unv</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merve.akgul</cp:lastModifiedBy>
  <cp:revision>2</cp:revision>
  <cp:lastPrinted>2012-10-11T09:37:00Z</cp:lastPrinted>
  <dcterms:created xsi:type="dcterms:W3CDTF">2012-10-11T10:02:00Z</dcterms:created>
  <dcterms:modified xsi:type="dcterms:W3CDTF">2012-10-11T10:02:00Z</dcterms:modified>
</cp:coreProperties>
</file>