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Default="004944B1" w:rsidP="001E4BF5">
      <w:pPr>
        <w:spacing w:line="360" w:lineRule="auto"/>
        <w:ind w:right="-319"/>
        <w:jc w:val="center"/>
        <w:outlineLvl w:val="0"/>
        <w:rPr>
          <w:rFonts w:ascii="Arial" w:hAnsi="Arial" w:cs="Arial"/>
          <w:b/>
          <w:sz w:val="32"/>
          <w:szCs w:val="32"/>
        </w:rPr>
      </w:pPr>
      <w:r>
        <w:rPr>
          <w:rFonts w:ascii="Arial" w:hAnsi="Arial" w:cs="Arial"/>
          <w:b/>
          <w:noProof/>
          <w:sz w:val="32"/>
          <w:szCs w:val="32"/>
          <w:lang w:val="en-US" w:eastAsia="en-US"/>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30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6858000" cy="1261745"/>
                    </a:xfrm>
                    <a:prstGeom prst="rect">
                      <a:avLst/>
                    </a:prstGeom>
                    <a:noFill/>
                    <a:ln w="9525">
                      <a:noFill/>
                      <a:miter lim="800000"/>
                      <a:headEnd/>
                      <a:tailEnd/>
                    </a:ln>
                  </pic:spPr>
                </pic:pic>
              </a:graphicData>
            </a:graphic>
          </wp:anchor>
        </w:drawing>
      </w:r>
      <w:r w:rsidR="00E03D99" w:rsidRPr="00E03D99">
        <w:rPr>
          <w:rFonts w:ascii="Arial" w:hAnsi="Arial" w:cs="Arial"/>
          <w:b/>
          <w:noProof/>
          <w:sz w:val="32"/>
          <w:szCs w:val="32"/>
        </w:rPr>
        <w:pict>
          <v:shapetype id="_x0000_t202" coordsize="21600,21600" o:spt="202" path="m,l,21600r21600,l21600,xe">
            <v:stroke joinstyle="miter"/>
            <v:path gradientshapeok="t" o:connecttype="rect"/>
          </v:shapetype>
          <v:shape id="_x0000_s1050" type="#_x0000_t202" style="position:absolute;left:0;text-align:left;margin-left:117pt;margin-top:-45pt;width:312.1pt;height:44.8pt;z-index:251656704;mso-wrap-distance-left:9.05pt;mso-wrap-distance-right:9.05pt;mso-position-horizontal-relative:text;mso-position-vertical-relative:text" stroked="f">
            <v:fill opacity="0" color2="black"/>
            <v:textbox style="mso-next-textbox:#_x0000_s1050" inset="0,0,0,0">
              <w:txbxContent>
                <w:p w:rsidR="00024559" w:rsidRPr="00342E6B" w:rsidRDefault="001A2051" w:rsidP="00024559">
                  <w:pPr>
                    <w:pStyle w:val="Heading1"/>
                    <w:rPr>
                      <w:rFonts w:ascii="Times New Roman" w:hAnsi="Times New Roman"/>
                      <w:sz w:val="40"/>
                      <w:szCs w:val="40"/>
                    </w:rPr>
                  </w:pPr>
                  <w:r>
                    <w:rPr>
                      <w:rFonts w:ascii="Times New Roman" w:hAnsi="Times New Roman"/>
                      <w:sz w:val="40"/>
                      <w:szCs w:val="40"/>
                    </w:rPr>
                    <w:t>Ekonomik Görünüm</w:t>
                  </w:r>
                  <w:r w:rsidR="00024559">
                    <w:rPr>
                      <w:rFonts w:ascii="Times New Roman" w:hAnsi="Times New Roman"/>
                      <w:sz w:val="40"/>
                      <w:szCs w:val="40"/>
                    </w:rPr>
                    <w:t xml:space="preserve"> ve Tahminler: </w:t>
                  </w:r>
                  <w:r w:rsidR="00E238E9">
                    <w:rPr>
                      <w:rFonts w:ascii="Times New Roman" w:hAnsi="Times New Roman"/>
                      <w:sz w:val="40"/>
                      <w:szCs w:val="40"/>
                    </w:rPr>
                    <w:t>Temmuz</w:t>
                  </w:r>
                  <w:r w:rsidR="006A53AA">
                    <w:rPr>
                      <w:rFonts w:ascii="Times New Roman" w:hAnsi="Times New Roman"/>
                      <w:sz w:val="40"/>
                      <w:szCs w:val="40"/>
                    </w:rPr>
                    <w:t xml:space="preserve"> 2012</w:t>
                  </w:r>
                </w:p>
                <w:p w:rsidR="00024559" w:rsidRPr="00A75A46" w:rsidRDefault="00024559" w:rsidP="00024559">
                  <w:pPr>
                    <w:pStyle w:val="Heading2"/>
                    <w:rPr>
                      <w:b w:val="0"/>
                      <w:i w:val="0"/>
                      <w:lang w:val="nl-NL"/>
                    </w:rPr>
                  </w:pPr>
                </w:p>
              </w:txbxContent>
            </v:textbox>
          </v:shape>
        </w:pict>
      </w:r>
    </w:p>
    <w:p w:rsidR="00357ECC" w:rsidRDefault="00E03D99" w:rsidP="001E4BF5">
      <w:pPr>
        <w:spacing w:line="360" w:lineRule="auto"/>
        <w:ind w:right="-319"/>
        <w:jc w:val="center"/>
        <w:outlineLvl w:val="0"/>
        <w:rPr>
          <w:rFonts w:ascii="Arial" w:hAnsi="Arial" w:cs="Arial"/>
          <w:b/>
          <w:sz w:val="32"/>
          <w:szCs w:val="32"/>
        </w:rPr>
      </w:pPr>
      <w:r w:rsidRPr="00E03D99">
        <w:rPr>
          <w:rFonts w:ascii="Arial" w:hAnsi="Arial" w:cs="Arial"/>
          <w:b/>
          <w:noProof/>
        </w:rPr>
        <w:lastRenderedPageBreak/>
        <w:pict>
          <v:shape id="_x0000_s1051" type="#_x0000_t202" style="position:absolute;left:0;text-align:left;margin-left:157.05pt;margin-top:18pt;width:146.3pt;height:27.45pt;z-index:251657728;mso-wrap-distance-left:9.05pt;mso-wrap-distance-right:9.05pt" stroked="f">
            <v:fill opacity="0" color2="black"/>
            <v:textbox style="mso-next-textbox:#_x0000_s1051" inset="0,0,0,0">
              <w:txbxContent>
                <w:p w:rsidR="00024559" w:rsidRPr="0015586B" w:rsidRDefault="004239AE" w:rsidP="00024559">
                  <w:pPr>
                    <w:pStyle w:val="Heading3"/>
                    <w:rPr>
                      <w:color w:val="FFFFFF"/>
                      <w:sz w:val="22"/>
                      <w:szCs w:val="22"/>
                      <w:lang w:val="tr-TR"/>
                    </w:rPr>
                  </w:pPr>
                  <w:r>
                    <w:rPr>
                      <w:color w:val="FFFFFF"/>
                      <w:sz w:val="22"/>
                      <w:szCs w:val="22"/>
                      <w:lang w:val="tr-TR"/>
                    </w:rPr>
                    <w:t xml:space="preserve">       </w:t>
                  </w:r>
                  <w:r w:rsidR="004354E5">
                    <w:rPr>
                      <w:color w:val="FFFFFF"/>
                      <w:sz w:val="22"/>
                      <w:szCs w:val="22"/>
                      <w:lang w:val="tr-TR"/>
                    </w:rPr>
                    <w:t>11</w:t>
                  </w:r>
                  <w:r w:rsidR="00E238E9">
                    <w:rPr>
                      <w:color w:val="FFFFFF"/>
                      <w:sz w:val="22"/>
                      <w:szCs w:val="22"/>
                      <w:lang w:val="tr-TR"/>
                    </w:rPr>
                    <w:t>.07</w:t>
                  </w:r>
                  <w:r>
                    <w:rPr>
                      <w:color w:val="FFFFFF"/>
                      <w:sz w:val="22"/>
                      <w:szCs w:val="22"/>
                      <w:lang w:val="tr-TR"/>
                    </w:rPr>
                    <w:t>.</w:t>
                  </w:r>
                  <w:r w:rsidR="00E47905">
                    <w:rPr>
                      <w:color w:val="FFFFFF"/>
                      <w:sz w:val="22"/>
                      <w:szCs w:val="22"/>
                      <w:lang w:val="tr-TR"/>
                    </w:rPr>
                    <w:t>2012</w:t>
                  </w:r>
                </w:p>
                <w:p w:rsidR="00024559" w:rsidRDefault="00024559" w:rsidP="00024559"/>
              </w:txbxContent>
            </v:textbox>
          </v:shape>
        </w:pict>
      </w:r>
    </w:p>
    <w:p w:rsidR="00357ECC" w:rsidRDefault="00357ECC" w:rsidP="001E4BF5">
      <w:pPr>
        <w:spacing w:line="360" w:lineRule="auto"/>
        <w:ind w:right="-319"/>
        <w:jc w:val="center"/>
        <w:outlineLvl w:val="0"/>
        <w:rPr>
          <w:rFonts w:ascii="Arial" w:hAnsi="Arial" w:cs="Arial"/>
          <w:b/>
          <w:sz w:val="32"/>
          <w:szCs w:val="32"/>
        </w:rPr>
        <w:sectPr w:rsidR="00357ECC" w:rsidSect="00357ECC">
          <w:footerReference w:type="even" r:id="rId8"/>
          <w:footerReference w:type="default" r:id="rId9"/>
          <w:pgSz w:w="11906" w:h="16838"/>
          <w:pgMar w:top="1417" w:right="1417" w:bottom="1417" w:left="1417" w:header="708" w:footer="708" w:gutter="0"/>
          <w:cols w:num="2" w:space="708" w:equalWidth="0">
            <w:col w:w="4182" w:space="708"/>
            <w:col w:w="4182"/>
          </w:cols>
          <w:docGrid w:linePitch="360"/>
        </w:sectPr>
      </w:pPr>
    </w:p>
    <w:p w:rsidR="00357ECC" w:rsidRDefault="00357ECC" w:rsidP="001E4BF5">
      <w:pPr>
        <w:spacing w:line="360" w:lineRule="auto"/>
        <w:ind w:right="-319"/>
        <w:outlineLvl w:val="0"/>
        <w:rPr>
          <w:rFonts w:ascii="Arial" w:hAnsi="Arial" w:cs="Arial"/>
          <w:b/>
          <w:sz w:val="32"/>
          <w:szCs w:val="32"/>
        </w:rPr>
      </w:pPr>
    </w:p>
    <w:p w:rsidR="00D837A8" w:rsidRPr="00B503A1" w:rsidRDefault="00C651F0" w:rsidP="00D837A8">
      <w:pPr>
        <w:spacing w:line="360" w:lineRule="auto"/>
        <w:ind w:right="-319"/>
        <w:jc w:val="center"/>
        <w:outlineLvl w:val="0"/>
        <w:rPr>
          <w:rFonts w:ascii="Arial" w:hAnsi="Arial" w:cs="Arial"/>
          <w:b/>
          <w:caps/>
          <w:sz w:val="32"/>
          <w:szCs w:val="32"/>
        </w:rPr>
      </w:pPr>
      <w:r>
        <w:rPr>
          <w:rFonts w:ascii="Arial" w:hAnsi="Arial" w:cs="Arial"/>
          <w:b/>
          <w:caps/>
          <w:sz w:val="32"/>
          <w:szCs w:val="32"/>
        </w:rPr>
        <w:t xml:space="preserve">iç talepte </w:t>
      </w:r>
      <w:r w:rsidR="009F0B71">
        <w:rPr>
          <w:rFonts w:ascii="Arial" w:hAnsi="Arial" w:cs="Arial"/>
          <w:b/>
          <w:caps/>
          <w:sz w:val="32"/>
          <w:szCs w:val="32"/>
        </w:rPr>
        <w:t>sınırlı canlanma</w:t>
      </w:r>
    </w:p>
    <w:p w:rsidR="00D837A8" w:rsidRPr="00E702BA" w:rsidRDefault="00D837A8" w:rsidP="00D837A8">
      <w:pPr>
        <w:spacing w:line="360" w:lineRule="auto"/>
        <w:ind w:right="-319"/>
        <w:jc w:val="center"/>
        <w:outlineLvl w:val="0"/>
        <w:rPr>
          <w:rFonts w:ascii="Arial" w:hAnsi="Arial" w:cs="Arial"/>
          <w:b/>
          <w:caps/>
        </w:rPr>
      </w:pPr>
    </w:p>
    <w:p w:rsidR="00D837A8" w:rsidRDefault="00D837A8" w:rsidP="00D837A8">
      <w:pPr>
        <w:spacing w:line="360" w:lineRule="auto"/>
        <w:ind w:right="-319"/>
        <w:jc w:val="center"/>
        <w:outlineLvl w:val="0"/>
        <w:rPr>
          <w:rFonts w:ascii="Arial" w:hAnsi="Arial" w:cs="Arial"/>
          <w:b/>
          <w:sz w:val="22"/>
          <w:szCs w:val="22"/>
          <w:vertAlign w:val="superscript"/>
        </w:rPr>
      </w:pPr>
      <w:r w:rsidRPr="007750EF">
        <w:rPr>
          <w:rFonts w:ascii="Arial" w:hAnsi="Arial" w:cs="Arial"/>
          <w:b/>
          <w:sz w:val="22"/>
          <w:szCs w:val="22"/>
        </w:rPr>
        <w:t>Zümrüt İmamoğlu</w:t>
      </w:r>
      <w:r>
        <w:rPr>
          <w:rFonts w:ascii="Arial" w:hAnsi="Arial" w:cs="Arial"/>
          <w:b/>
          <w:sz w:val="22"/>
          <w:szCs w:val="22"/>
        </w:rPr>
        <w:t>* ve Barış Soybilgen</w:t>
      </w:r>
      <w:r w:rsidRPr="007750EF">
        <w:rPr>
          <w:rFonts w:ascii="Arial" w:hAnsi="Arial" w:cs="Arial"/>
          <w:b/>
          <w:sz w:val="22"/>
          <w:szCs w:val="22"/>
          <w:vertAlign w:val="superscript"/>
        </w:rPr>
        <w:t>†</w:t>
      </w:r>
    </w:p>
    <w:p w:rsidR="00D837A8" w:rsidRDefault="00D837A8" w:rsidP="00D837A8">
      <w:pPr>
        <w:spacing w:line="360" w:lineRule="auto"/>
        <w:ind w:right="-319"/>
        <w:jc w:val="center"/>
        <w:outlineLvl w:val="0"/>
        <w:rPr>
          <w:rFonts w:ascii="Arial" w:hAnsi="Arial" w:cs="Arial"/>
          <w:sz w:val="22"/>
          <w:szCs w:val="22"/>
          <w:vertAlign w:val="superscript"/>
        </w:rPr>
      </w:pPr>
    </w:p>
    <w:p w:rsidR="00D837A8" w:rsidRPr="004A7FE6" w:rsidRDefault="00D837A8" w:rsidP="00D837A8">
      <w:pPr>
        <w:spacing w:line="360" w:lineRule="auto"/>
        <w:ind w:right="-319"/>
        <w:jc w:val="center"/>
        <w:outlineLvl w:val="0"/>
        <w:rPr>
          <w:rFonts w:ascii="Arial" w:hAnsi="Arial" w:cs="Arial"/>
          <w:sz w:val="22"/>
          <w:szCs w:val="22"/>
          <w:vertAlign w:val="superscript"/>
        </w:rPr>
        <w:sectPr w:rsidR="00D837A8" w:rsidRPr="004A7FE6" w:rsidSect="008651A8">
          <w:type w:val="continuous"/>
          <w:pgSz w:w="11906" w:h="16838"/>
          <w:pgMar w:top="1417" w:right="1417" w:bottom="1417" w:left="1417" w:header="708" w:footer="708" w:gutter="0"/>
          <w:cols w:space="708"/>
          <w:docGrid w:linePitch="360"/>
        </w:sectPr>
      </w:pPr>
    </w:p>
    <w:p w:rsidR="00CE2137" w:rsidRDefault="00CE2137" w:rsidP="00CE2137">
      <w:pPr>
        <w:spacing w:line="360" w:lineRule="auto"/>
        <w:ind w:left="-360" w:right="42" w:firstLine="360"/>
        <w:jc w:val="center"/>
        <w:rPr>
          <w:b/>
          <w:sz w:val="22"/>
          <w:szCs w:val="22"/>
        </w:rPr>
      </w:pPr>
      <w:r w:rsidRPr="004A7FE6">
        <w:rPr>
          <w:b/>
          <w:sz w:val="22"/>
          <w:szCs w:val="22"/>
        </w:rPr>
        <w:lastRenderedPageBreak/>
        <w:t>Yönetici Özeti</w:t>
      </w:r>
    </w:p>
    <w:p w:rsidR="00CE2137" w:rsidRDefault="00CE2137" w:rsidP="00CE2137">
      <w:pPr>
        <w:spacing w:line="360" w:lineRule="auto"/>
        <w:ind w:left="-360" w:right="42" w:firstLine="360"/>
        <w:jc w:val="center"/>
        <w:rPr>
          <w:b/>
          <w:sz w:val="22"/>
          <w:szCs w:val="22"/>
        </w:rPr>
      </w:pPr>
    </w:p>
    <w:tbl>
      <w:tblPr>
        <w:tblpPr w:leftFromText="141" w:rightFromText="141" w:vertAnchor="text" w:horzAnchor="margin" w:tblpXSpec="right" w:tblpY="397"/>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8"/>
        <w:gridCol w:w="1532"/>
      </w:tblGrid>
      <w:tr w:rsidR="007A46AB" w:rsidRPr="003118F7" w:rsidTr="00154EA1">
        <w:trPr>
          <w:trHeight w:val="986"/>
        </w:trPr>
        <w:tc>
          <w:tcPr>
            <w:tcW w:w="3088" w:type="dxa"/>
            <w:tcBorders>
              <w:right w:val="single" w:sz="4" w:space="0" w:color="auto"/>
            </w:tcBorders>
            <w:tcMar>
              <w:left w:w="28" w:type="dxa"/>
              <w:right w:w="28" w:type="dxa"/>
            </w:tcMar>
            <w:vAlign w:val="center"/>
          </w:tcPr>
          <w:p w:rsidR="007A46AB" w:rsidRPr="003118F7" w:rsidRDefault="007A46AB" w:rsidP="00154EA1">
            <w:pPr>
              <w:ind w:right="42"/>
              <w:jc w:val="center"/>
              <w:rPr>
                <w:sz w:val="20"/>
                <w:szCs w:val="20"/>
              </w:rPr>
            </w:pPr>
          </w:p>
        </w:tc>
        <w:tc>
          <w:tcPr>
            <w:tcW w:w="1532" w:type="dxa"/>
            <w:tcBorders>
              <w:right w:val="single" w:sz="4" w:space="0" w:color="auto"/>
            </w:tcBorders>
            <w:vAlign w:val="center"/>
          </w:tcPr>
          <w:p w:rsidR="007A46AB" w:rsidRDefault="007A46AB" w:rsidP="00154EA1">
            <w:pPr>
              <w:ind w:right="40"/>
              <w:jc w:val="center"/>
              <w:rPr>
                <w:b/>
                <w:sz w:val="20"/>
                <w:szCs w:val="20"/>
              </w:rPr>
            </w:pPr>
            <w:r>
              <w:rPr>
                <w:b/>
                <w:sz w:val="20"/>
                <w:szCs w:val="20"/>
              </w:rPr>
              <w:t>2012</w:t>
            </w:r>
          </w:p>
          <w:p w:rsidR="007A46AB" w:rsidRDefault="007A46AB" w:rsidP="00154EA1">
            <w:pPr>
              <w:ind w:right="40"/>
              <w:jc w:val="center"/>
              <w:rPr>
                <w:b/>
                <w:sz w:val="20"/>
                <w:szCs w:val="20"/>
              </w:rPr>
            </w:pPr>
            <w:r>
              <w:rPr>
                <w:b/>
                <w:sz w:val="20"/>
                <w:szCs w:val="20"/>
              </w:rPr>
              <w:t>2. Çeyrek</w:t>
            </w:r>
          </w:p>
          <w:p w:rsidR="007A46AB" w:rsidRDefault="007A46AB" w:rsidP="00154EA1">
            <w:pPr>
              <w:ind w:right="40"/>
              <w:jc w:val="center"/>
              <w:rPr>
                <w:b/>
                <w:sz w:val="20"/>
                <w:szCs w:val="20"/>
              </w:rPr>
            </w:pPr>
            <w:r>
              <w:rPr>
                <w:b/>
                <w:sz w:val="20"/>
                <w:szCs w:val="20"/>
              </w:rPr>
              <w:t>Tahmin</w:t>
            </w:r>
          </w:p>
        </w:tc>
      </w:tr>
      <w:tr w:rsidR="007A46AB" w:rsidRPr="003118F7" w:rsidTr="00154EA1">
        <w:trPr>
          <w:trHeight w:val="771"/>
        </w:trPr>
        <w:tc>
          <w:tcPr>
            <w:tcW w:w="3088" w:type="dxa"/>
            <w:tcBorders>
              <w:right w:val="single" w:sz="4" w:space="0" w:color="auto"/>
            </w:tcBorders>
            <w:tcMar>
              <w:left w:w="28" w:type="dxa"/>
              <w:right w:w="28" w:type="dxa"/>
            </w:tcMar>
            <w:vAlign w:val="center"/>
          </w:tcPr>
          <w:p w:rsidR="007A46AB" w:rsidRPr="003118F7" w:rsidRDefault="007A46AB" w:rsidP="00154EA1">
            <w:pPr>
              <w:ind w:right="42"/>
              <w:rPr>
                <w:sz w:val="20"/>
                <w:szCs w:val="20"/>
              </w:rPr>
            </w:pPr>
            <w:r w:rsidRPr="003118F7">
              <w:rPr>
                <w:sz w:val="20"/>
                <w:szCs w:val="20"/>
              </w:rPr>
              <w:t>GS</w:t>
            </w:r>
            <w:r>
              <w:rPr>
                <w:sz w:val="20"/>
                <w:szCs w:val="20"/>
              </w:rPr>
              <w:t>YH büyüme (</w:t>
            </w:r>
            <w:r w:rsidRPr="003118F7">
              <w:rPr>
                <w:sz w:val="20"/>
                <w:szCs w:val="20"/>
              </w:rPr>
              <w:t>reel</w:t>
            </w:r>
            <w:r>
              <w:rPr>
                <w:sz w:val="20"/>
                <w:szCs w:val="20"/>
              </w:rPr>
              <w:t>, %)</w:t>
            </w:r>
          </w:p>
          <w:p w:rsidR="007A46AB" w:rsidRPr="003118F7" w:rsidRDefault="007A46AB" w:rsidP="00154EA1">
            <w:pPr>
              <w:ind w:right="42"/>
              <w:rPr>
                <w:sz w:val="20"/>
                <w:szCs w:val="20"/>
              </w:rPr>
            </w:pPr>
            <w:r w:rsidRPr="003118F7">
              <w:rPr>
                <w:sz w:val="20"/>
                <w:szCs w:val="20"/>
              </w:rPr>
              <w:t>(bir önceki çeyreğe göre, mea*)</w:t>
            </w:r>
          </w:p>
        </w:tc>
        <w:tc>
          <w:tcPr>
            <w:tcW w:w="1532" w:type="dxa"/>
            <w:tcBorders>
              <w:right w:val="single" w:sz="4" w:space="0" w:color="auto"/>
            </w:tcBorders>
            <w:vAlign w:val="center"/>
          </w:tcPr>
          <w:p w:rsidR="007A46AB" w:rsidRDefault="007A46AB" w:rsidP="00154EA1">
            <w:pPr>
              <w:ind w:right="42"/>
              <w:jc w:val="center"/>
              <w:rPr>
                <w:sz w:val="20"/>
                <w:szCs w:val="20"/>
              </w:rPr>
            </w:pPr>
            <w:r>
              <w:rPr>
                <w:sz w:val="20"/>
                <w:szCs w:val="20"/>
              </w:rPr>
              <w:t>0,6</w:t>
            </w:r>
          </w:p>
        </w:tc>
      </w:tr>
      <w:tr w:rsidR="007A46AB" w:rsidRPr="003118F7" w:rsidTr="00154EA1">
        <w:trPr>
          <w:trHeight w:val="756"/>
        </w:trPr>
        <w:tc>
          <w:tcPr>
            <w:tcW w:w="3088" w:type="dxa"/>
            <w:tcBorders>
              <w:right w:val="single" w:sz="4" w:space="0" w:color="auto"/>
            </w:tcBorders>
            <w:tcMar>
              <w:left w:w="28" w:type="dxa"/>
              <w:right w:w="28" w:type="dxa"/>
            </w:tcMar>
            <w:vAlign w:val="center"/>
          </w:tcPr>
          <w:p w:rsidR="007A46AB" w:rsidRPr="003118F7" w:rsidRDefault="007A46AB" w:rsidP="00154EA1">
            <w:pPr>
              <w:ind w:right="42"/>
              <w:rPr>
                <w:sz w:val="20"/>
                <w:szCs w:val="20"/>
              </w:rPr>
            </w:pPr>
            <w:r w:rsidRPr="003118F7">
              <w:rPr>
                <w:sz w:val="20"/>
                <w:szCs w:val="20"/>
              </w:rPr>
              <w:t>GSYH büyüme</w:t>
            </w:r>
            <w:r>
              <w:rPr>
                <w:sz w:val="20"/>
                <w:szCs w:val="20"/>
              </w:rPr>
              <w:t xml:space="preserve"> (</w:t>
            </w:r>
            <w:r w:rsidRPr="003118F7">
              <w:rPr>
                <w:sz w:val="20"/>
                <w:szCs w:val="20"/>
              </w:rPr>
              <w:t>reel</w:t>
            </w:r>
            <w:r>
              <w:rPr>
                <w:sz w:val="20"/>
                <w:szCs w:val="20"/>
              </w:rPr>
              <w:t>, %)</w:t>
            </w:r>
            <w:r w:rsidRPr="003118F7">
              <w:rPr>
                <w:sz w:val="20"/>
                <w:szCs w:val="20"/>
              </w:rPr>
              <w:t xml:space="preserve"> (geçen yılın aynı çeyreğine göre, tea**)</w:t>
            </w:r>
          </w:p>
        </w:tc>
        <w:tc>
          <w:tcPr>
            <w:tcW w:w="1532" w:type="dxa"/>
            <w:tcBorders>
              <w:right w:val="single" w:sz="4" w:space="0" w:color="auto"/>
            </w:tcBorders>
            <w:vAlign w:val="center"/>
          </w:tcPr>
          <w:p w:rsidR="007A46AB" w:rsidRDefault="007A46AB" w:rsidP="00154EA1">
            <w:pPr>
              <w:ind w:right="42"/>
              <w:jc w:val="center"/>
              <w:rPr>
                <w:sz w:val="20"/>
                <w:szCs w:val="20"/>
              </w:rPr>
            </w:pPr>
            <w:r>
              <w:rPr>
                <w:sz w:val="20"/>
                <w:szCs w:val="20"/>
              </w:rPr>
              <w:t>2,3</w:t>
            </w:r>
          </w:p>
        </w:tc>
      </w:tr>
      <w:tr w:rsidR="007A46AB" w:rsidRPr="003118F7" w:rsidTr="00154EA1">
        <w:trPr>
          <w:trHeight w:val="583"/>
        </w:trPr>
        <w:tc>
          <w:tcPr>
            <w:tcW w:w="3088" w:type="dxa"/>
            <w:tcBorders>
              <w:right w:val="single" w:sz="4" w:space="0" w:color="auto"/>
            </w:tcBorders>
            <w:tcMar>
              <w:left w:w="28" w:type="dxa"/>
              <w:right w:w="28" w:type="dxa"/>
            </w:tcMar>
            <w:vAlign w:val="center"/>
          </w:tcPr>
          <w:p w:rsidR="007A46AB" w:rsidRPr="003118F7" w:rsidRDefault="007A46AB" w:rsidP="00154EA1">
            <w:pPr>
              <w:ind w:right="40"/>
              <w:rPr>
                <w:sz w:val="20"/>
                <w:szCs w:val="20"/>
              </w:rPr>
            </w:pPr>
            <w:r w:rsidRPr="003118F7">
              <w:rPr>
                <w:sz w:val="20"/>
                <w:szCs w:val="20"/>
              </w:rPr>
              <w:t>Cari Açık (</w:t>
            </w:r>
            <w:r>
              <w:rPr>
                <w:sz w:val="20"/>
                <w:szCs w:val="20"/>
              </w:rPr>
              <w:t xml:space="preserve">GSYH’a oran </w:t>
            </w:r>
            <w:r w:rsidRPr="003118F7">
              <w:rPr>
                <w:sz w:val="20"/>
                <w:szCs w:val="20"/>
              </w:rPr>
              <w:t>yıllık</w:t>
            </w:r>
            <w:r>
              <w:rPr>
                <w:sz w:val="20"/>
                <w:szCs w:val="20"/>
              </w:rPr>
              <w:t>, %</w:t>
            </w:r>
            <w:r w:rsidRPr="003118F7">
              <w:rPr>
                <w:sz w:val="20"/>
                <w:szCs w:val="20"/>
              </w:rPr>
              <w:t>)</w:t>
            </w:r>
          </w:p>
        </w:tc>
        <w:tc>
          <w:tcPr>
            <w:tcW w:w="1532" w:type="dxa"/>
            <w:tcBorders>
              <w:right w:val="single" w:sz="4" w:space="0" w:color="auto"/>
            </w:tcBorders>
            <w:vAlign w:val="center"/>
          </w:tcPr>
          <w:p w:rsidR="007A46AB" w:rsidRDefault="00716027" w:rsidP="00154EA1">
            <w:pPr>
              <w:ind w:right="40"/>
              <w:jc w:val="center"/>
              <w:rPr>
                <w:sz w:val="20"/>
                <w:szCs w:val="20"/>
              </w:rPr>
            </w:pPr>
            <w:r>
              <w:rPr>
                <w:sz w:val="20"/>
                <w:szCs w:val="20"/>
              </w:rPr>
              <w:t>8,5</w:t>
            </w:r>
          </w:p>
        </w:tc>
      </w:tr>
    </w:tbl>
    <w:p w:rsidR="00CE2137" w:rsidRDefault="00304A27" w:rsidP="0037492C">
      <w:pPr>
        <w:spacing w:line="360" w:lineRule="auto"/>
        <w:ind w:left="-360" w:right="40"/>
        <w:jc w:val="both"/>
        <w:rPr>
          <w:sz w:val="22"/>
          <w:szCs w:val="22"/>
        </w:rPr>
      </w:pPr>
      <w:r>
        <w:rPr>
          <w:sz w:val="22"/>
          <w:szCs w:val="22"/>
        </w:rPr>
        <w:t>Mayıs</w:t>
      </w:r>
      <w:r w:rsidR="00CE2137">
        <w:rPr>
          <w:sz w:val="22"/>
          <w:szCs w:val="22"/>
        </w:rPr>
        <w:t xml:space="preserve"> ayında Sanayi Üretim Endeksi (SÜE) </w:t>
      </w:r>
      <w:r>
        <w:rPr>
          <w:sz w:val="22"/>
          <w:szCs w:val="22"/>
        </w:rPr>
        <w:t>Nisan</w:t>
      </w:r>
      <w:r w:rsidR="00CE2137">
        <w:rPr>
          <w:sz w:val="22"/>
          <w:szCs w:val="22"/>
        </w:rPr>
        <w:t xml:space="preserve"> ayına göre yüzde 1,</w:t>
      </w:r>
      <w:r>
        <w:rPr>
          <w:sz w:val="22"/>
          <w:szCs w:val="22"/>
        </w:rPr>
        <w:t>1 artarken</w:t>
      </w:r>
      <w:r w:rsidR="00CE2137">
        <w:rPr>
          <w:sz w:val="22"/>
          <w:szCs w:val="22"/>
        </w:rPr>
        <w:t xml:space="preserve"> ihracat miktar endeksi ise yüzde </w:t>
      </w:r>
      <w:r>
        <w:rPr>
          <w:sz w:val="22"/>
          <w:szCs w:val="22"/>
        </w:rPr>
        <w:t>0,5 azaldı</w:t>
      </w:r>
      <w:r w:rsidR="00CE2137">
        <w:rPr>
          <w:sz w:val="22"/>
          <w:szCs w:val="22"/>
        </w:rPr>
        <w:t xml:space="preserve">. İthalat miktar endeksi </w:t>
      </w:r>
      <w:r>
        <w:rPr>
          <w:sz w:val="22"/>
          <w:szCs w:val="22"/>
        </w:rPr>
        <w:t>ise yüzde 6,2</w:t>
      </w:r>
      <w:r w:rsidR="00CE2137">
        <w:rPr>
          <w:sz w:val="22"/>
          <w:szCs w:val="22"/>
        </w:rPr>
        <w:t xml:space="preserve"> oranında a</w:t>
      </w:r>
      <w:r>
        <w:rPr>
          <w:sz w:val="22"/>
          <w:szCs w:val="22"/>
        </w:rPr>
        <w:t>rttı</w:t>
      </w:r>
      <w:r w:rsidR="0037492C">
        <w:rPr>
          <w:sz w:val="22"/>
          <w:szCs w:val="22"/>
        </w:rPr>
        <w:t xml:space="preserve">. </w:t>
      </w:r>
      <w:r w:rsidR="007A46AB">
        <w:rPr>
          <w:sz w:val="22"/>
          <w:szCs w:val="22"/>
        </w:rPr>
        <w:t>İthalattaki yüksek artış net ihracatın büyümeye katkısını düşürüyor. Tüketim</w:t>
      </w:r>
      <w:r w:rsidR="000D2F51">
        <w:rPr>
          <w:sz w:val="22"/>
          <w:szCs w:val="22"/>
        </w:rPr>
        <w:t xml:space="preserve"> ve yatırım malı ithalatındaki artış </w:t>
      </w:r>
      <w:r w:rsidR="007A46AB">
        <w:rPr>
          <w:sz w:val="22"/>
          <w:szCs w:val="22"/>
        </w:rPr>
        <w:t>ise iç talepte</w:t>
      </w:r>
      <w:r w:rsidR="000D2F51">
        <w:rPr>
          <w:sz w:val="22"/>
          <w:szCs w:val="22"/>
        </w:rPr>
        <w:t xml:space="preserve"> canlanma sinyali veriyor. </w:t>
      </w:r>
      <w:r w:rsidR="0037492C">
        <w:rPr>
          <w:sz w:val="22"/>
          <w:szCs w:val="22"/>
        </w:rPr>
        <w:t xml:space="preserve">Mayıs rakamları ikinci çeyrekte büyümenin birinci çeyrekteki </w:t>
      </w:r>
      <w:r w:rsidR="00DA52F4">
        <w:rPr>
          <w:sz w:val="22"/>
          <w:szCs w:val="22"/>
        </w:rPr>
        <w:t xml:space="preserve">yüzde 0,4’lük </w:t>
      </w:r>
      <w:r w:rsidR="0037492C">
        <w:rPr>
          <w:sz w:val="22"/>
          <w:szCs w:val="22"/>
        </w:rPr>
        <w:t xml:space="preserve">daralmayı telafi edeceğini gösteriyor. </w:t>
      </w:r>
      <w:r w:rsidR="00CE2137">
        <w:rPr>
          <w:sz w:val="22"/>
          <w:szCs w:val="22"/>
        </w:rPr>
        <w:t xml:space="preserve">2012 2. çeyrekte </w:t>
      </w:r>
      <w:r w:rsidR="00D3157E">
        <w:rPr>
          <w:sz w:val="22"/>
          <w:szCs w:val="22"/>
        </w:rPr>
        <w:t>GSYH’</w:t>
      </w:r>
      <w:r w:rsidR="00D84C4A">
        <w:rPr>
          <w:sz w:val="22"/>
          <w:szCs w:val="22"/>
        </w:rPr>
        <w:t xml:space="preserve">ın yılın ilk </w:t>
      </w:r>
      <w:r w:rsidR="00CE2137">
        <w:rPr>
          <w:sz w:val="22"/>
          <w:szCs w:val="22"/>
        </w:rPr>
        <w:t>çeyreğine göre yüzde 0</w:t>
      </w:r>
      <w:r w:rsidR="007A46AB">
        <w:rPr>
          <w:sz w:val="22"/>
          <w:szCs w:val="22"/>
        </w:rPr>
        <w:t>,6</w:t>
      </w:r>
      <w:r w:rsidR="00CE2137">
        <w:rPr>
          <w:sz w:val="22"/>
          <w:szCs w:val="22"/>
        </w:rPr>
        <w:t xml:space="preserve"> oranında büyüyeceğini tahmin ediyoruz. Bu tahmine göre 2. çeyrekte yıldan yıla büyüme oranını yüzde </w:t>
      </w:r>
      <w:r w:rsidR="007A46AB">
        <w:rPr>
          <w:sz w:val="22"/>
          <w:szCs w:val="22"/>
        </w:rPr>
        <w:t>2</w:t>
      </w:r>
      <w:r w:rsidR="00CE2137">
        <w:rPr>
          <w:sz w:val="22"/>
          <w:szCs w:val="22"/>
        </w:rPr>
        <w:t xml:space="preserve">,3 olarak hesaplıyoruz. </w:t>
      </w:r>
    </w:p>
    <w:p w:rsidR="00CE2137" w:rsidRDefault="00CE2137" w:rsidP="00CE2137">
      <w:pPr>
        <w:spacing w:line="360" w:lineRule="auto"/>
        <w:ind w:right="40"/>
        <w:jc w:val="both"/>
        <w:rPr>
          <w:sz w:val="22"/>
          <w:szCs w:val="22"/>
        </w:rPr>
      </w:pPr>
    </w:p>
    <w:p w:rsidR="00CE2137" w:rsidRDefault="0012778D" w:rsidP="00CE2137">
      <w:pPr>
        <w:spacing w:line="360" w:lineRule="auto"/>
        <w:ind w:left="-360" w:right="40"/>
        <w:jc w:val="both"/>
        <w:rPr>
          <w:sz w:val="22"/>
          <w:szCs w:val="22"/>
        </w:rPr>
      </w:pPr>
      <w:r>
        <w:rPr>
          <w:sz w:val="22"/>
          <w:szCs w:val="22"/>
        </w:rPr>
        <w:t xml:space="preserve">Ekonomideki yavaşlamayı takiben 2. çeyrekte dış ticaret açığı ve cari açık hızla azalmaya devam ediyor.  </w:t>
      </w:r>
      <w:r w:rsidR="00D3157E">
        <w:rPr>
          <w:sz w:val="22"/>
          <w:szCs w:val="22"/>
        </w:rPr>
        <w:t>Mayıs</w:t>
      </w:r>
      <w:r w:rsidR="00CE2137">
        <w:rPr>
          <w:sz w:val="22"/>
          <w:szCs w:val="22"/>
        </w:rPr>
        <w:t xml:space="preserve"> ayında dış ticaret açığı</w:t>
      </w:r>
      <w:r w:rsidR="00D3157E">
        <w:rPr>
          <w:sz w:val="22"/>
          <w:szCs w:val="22"/>
        </w:rPr>
        <w:t xml:space="preserve"> 1,6 milyar dolar gerileyerek 8,6 milyar dolara indi.</w:t>
      </w:r>
      <w:r w:rsidR="00CE2137">
        <w:rPr>
          <w:sz w:val="22"/>
          <w:szCs w:val="22"/>
        </w:rPr>
        <w:t xml:space="preserve"> </w:t>
      </w:r>
      <w:r w:rsidR="00FF306B">
        <w:rPr>
          <w:sz w:val="22"/>
          <w:szCs w:val="22"/>
        </w:rPr>
        <w:t>C</w:t>
      </w:r>
      <w:r w:rsidR="00D3157E">
        <w:rPr>
          <w:sz w:val="22"/>
          <w:szCs w:val="22"/>
        </w:rPr>
        <w:t>ari açı</w:t>
      </w:r>
      <w:r w:rsidR="00FF306B">
        <w:rPr>
          <w:sz w:val="22"/>
          <w:szCs w:val="22"/>
        </w:rPr>
        <w:t>k ise</w:t>
      </w:r>
      <w:r w:rsidR="00302A2B">
        <w:rPr>
          <w:sz w:val="22"/>
          <w:szCs w:val="22"/>
        </w:rPr>
        <w:t xml:space="preserve"> 2 milyar dolar azalarak</w:t>
      </w:r>
      <w:r w:rsidR="00D3157E">
        <w:rPr>
          <w:sz w:val="22"/>
          <w:szCs w:val="22"/>
        </w:rPr>
        <w:t xml:space="preserve"> </w:t>
      </w:r>
      <w:r w:rsidR="00FF306B">
        <w:rPr>
          <w:sz w:val="22"/>
          <w:szCs w:val="22"/>
        </w:rPr>
        <w:t>5</w:t>
      </w:r>
      <w:r w:rsidR="00D3157E">
        <w:rPr>
          <w:sz w:val="22"/>
          <w:szCs w:val="22"/>
        </w:rPr>
        <w:t>,</w:t>
      </w:r>
      <w:r w:rsidR="00FF306B">
        <w:rPr>
          <w:sz w:val="22"/>
          <w:szCs w:val="22"/>
        </w:rPr>
        <w:t>8 milyar dolara geriledi</w:t>
      </w:r>
      <w:r w:rsidR="00D3157E">
        <w:rPr>
          <w:sz w:val="22"/>
          <w:szCs w:val="22"/>
        </w:rPr>
        <w:t>.</w:t>
      </w:r>
      <w:r>
        <w:rPr>
          <w:sz w:val="22"/>
          <w:szCs w:val="22"/>
        </w:rPr>
        <w:t xml:space="preserve"> </w:t>
      </w:r>
      <w:r w:rsidR="00CE2137">
        <w:rPr>
          <w:sz w:val="22"/>
          <w:szCs w:val="22"/>
        </w:rPr>
        <w:t>2. çeyrek sonu itibariyla cari açığın GSYH’a oranının 9,3’ten 8,</w:t>
      </w:r>
      <w:r w:rsidR="00716027">
        <w:rPr>
          <w:sz w:val="22"/>
          <w:szCs w:val="22"/>
        </w:rPr>
        <w:t>5</w:t>
      </w:r>
      <w:r w:rsidR="00CE2137">
        <w:rPr>
          <w:sz w:val="22"/>
          <w:szCs w:val="22"/>
        </w:rPr>
        <w:t xml:space="preserve">’e </w:t>
      </w:r>
      <w:r w:rsidR="006D6233">
        <w:rPr>
          <w:sz w:val="22"/>
          <w:szCs w:val="22"/>
        </w:rPr>
        <w:t>düşeceğini</w:t>
      </w:r>
      <w:r w:rsidR="00CE2137">
        <w:rPr>
          <w:sz w:val="22"/>
          <w:szCs w:val="22"/>
        </w:rPr>
        <w:t xml:space="preserve"> </w:t>
      </w:r>
      <w:r w:rsidR="00125E90">
        <w:rPr>
          <w:sz w:val="22"/>
          <w:szCs w:val="22"/>
        </w:rPr>
        <w:t>öngörüyoruz</w:t>
      </w:r>
      <w:r w:rsidR="00CE2137">
        <w:rPr>
          <w:sz w:val="22"/>
          <w:szCs w:val="22"/>
        </w:rPr>
        <w:t>.</w:t>
      </w:r>
    </w:p>
    <w:p w:rsidR="00EE22FB" w:rsidRDefault="00EE22FB" w:rsidP="00EE22FB">
      <w:pPr>
        <w:spacing w:line="360" w:lineRule="auto"/>
        <w:ind w:left="-360" w:right="40"/>
        <w:jc w:val="both"/>
        <w:rPr>
          <w:sz w:val="22"/>
          <w:szCs w:val="22"/>
        </w:rPr>
      </w:pPr>
    </w:p>
    <w:p w:rsidR="00D837A8" w:rsidRDefault="00E03D99" w:rsidP="00D837A8">
      <w:pPr>
        <w:spacing w:line="288" w:lineRule="auto"/>
        <w:ind w:right="-318"/>
        <w:jc w:val="both"/>
        <w:rPr>
          <w:rFonts w:ascii="Arial" w:hAnsi="Arial" w:cs="Arial"/>
          <w:sz w:val="16"/>
          <w:szCs w:val="16"/>
        </w:rPr>
      </w:pPr>
      <w:r w:rsidRPr="00E03D99">
        <w:rPr>
          <w:rFonts w:ascii="Arial" w:hAnsi="Arial" w:cs="Arial"/>
          <w:noProof/>
          <w:sz w:val="16"/>
          <w:szCs w:val="16"/>
        </w:rPr>
        <w:pict>
          <v:line id="_x0000_s1325" style="position:absolute;left:0;text-align:left;z-index:251658752" from="-17.25pt,5.35pt" to="180.75pt,5.4pt"/>
        </w:pict>
      </w:r>
      <w:r w:rsidRPr="00E03D99">
        <w:rPr>
          <w:rFonts w:ascii="Arial" w:hAnsi="Arial" w:cs="Arial"/>
          <w:sz w:val="16"/>
          <w:szCs w:val="16"/>
        </w:rPr>
      </w:r>
      <w:r>
        <w:rPr>
          <w:rFonts w:ascii="Arial" w:hAnsi="Arial" w:cs="Arial"/>
          <w:sz w:val="16"/>
          <w:szCs w:val="16"/>
        </w:rPr>
        <w:pict>
          <v:group id="_x0000_s1323"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4" type="#_x0000_t75" style="position:absolute;left:939;top:332;width:6887;height:133" o:preferrelative="f">
              <v:fill o:detectmouseclick="t"/>
              <v:path o:extrusionok="t" o:connecttype="none"/>
              <o:lock v:ext="edit" text="t"/>
            </v:shape>
            <w10:wrap type="none"/>
            <w10:anchorlock/>
          </v:group>
        </w:pict>
      </w:r>
    </w:p>
    <w:p w:rsidR="00D837A8" w:rsidRPr="00C2696C" w:rsidRDefault="00D837A8" w:rsidP="00D837A8">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D837A8" w:rsidRDefault="00D837A8" w:rsidP="00D837A8">
      <w:pPr>
        <w:spacing w:line="288" w:lineRule="auto"/>
        <w:ind w:left="-360" w:right="-318"/>
        <w:jc w:val="both"/>
        <w:rPr>
          <w:rFonts w:ascii="Arial" w:hAnsi="Arial" w:cs="Arial"/>
          <w:sz w:val="16"/>
          <w:szCs w:val="16"/>
        </w:rPr>
      </w:pPr>
      <w:r w:rsidRPr="00C2696C">
        <w:rPr>
          <w:rFonts w:ascii="Arial" w:hAnsi="Arial" w:cs="Arial"/>
          <w:sz w:val="16"/>
          <w:szCs w:val="16"/>
        </w:rPr>
        <w:t xml:space="preserve">  </w:t>
      </w:r>
      <w:hyperlink r:id="rId10" w:history="1">
        <w:r w:rsidRPr="005E1D9A">
          <w:rPr>
            <w:rStyle w:val="Hyperlink"/>
            <w:rFonts w:ascii="Arial" w:hAnsi="Arial" w:cs="Arial"/>
            <w:sz w:val="16"/>
            <w:szCs w:val="16"/>
          </w:rPr>
          <w:t>zumrut.imamoglu@bahcesehir.edu.tr</w:t>
        </w:r>
      </w:hyperlink>
    </w:p>
    <w:p w:rsidR="00D837A8" w:rsidRPr="00C2696C" w:rsidRDefault="00D837A8" w:rsidP="00D837A8">
      <w:pPr>
        <w:spacing w:line="288" w:lineRule="auto"/>
        <w:ind w:left="-360" w:right="-318"/>
        <w:jc w:val="both"/>
        <w:rPr>
          <w:rFonts w:ascii="Arial" w:hAnsi="Arial" w:cs="Arial"/>
          <w:sz w:val="16"/>
          <w:szCs w:val="16"/>
        </w:rPr>
      </w:pPr>
      <w:r w:rsidRPr="00C2696C">
        <w:rPr>
          <w:rFonts w:ascii="Arial" w:hAnsi="Arial" w:cs="Arial"/>
          <w:sz w:val="16"/>
          <w:szCs w:val="16"/>
          <w:vertAlign w:val="superscript"/>
        </w:rPr>
        <w:t xml:space="preserve">† </w:t>
      </w:r>
      <w:r w:rsidRPr="00C2696C">
        <w:rPr>
          <w:rFonts w:ascii="Arial" w:hAnsi="Arial" w:cs="Arial"/>
          <w:sz w:val="16"/>
          <w:szCs w:val="16"/>
        </w:rPr>
        <w:t>Barış Soybilgen, Betam, Araştırma Görevlisi</w:t>
      </w:r>
    </w:p>
    <w:p w:rsidR="00D837A8" w:rsidRDefault="00D837A8" w:rsidP="00D837A8">
      <w:pPr>
        <w:ind w:left="-360"/>
        <w:rPr>
          <w:rFonts w:ascii="Arial" w:hAnsi="Arial" w:cs="Arial"/>
          <w:sz w:val="16"/>
          <w:szCs w:val="16"/>
        </w:rPr>
      </w:pPr>
      <w:r w:rsidRPr="00970E4E">
        <w:rPr>
          <w:sz w:val="16"/>
          <w:szCs w:val="16"/>
        </w:rPr>
        <w:t xml:space="preserve">  </w:t>
      </w:r>
      <w:hyperlink r:id="rId11" w:history="1">
        <w:r w:rsidRPr="005E1D9A">
          <w:rPr>
            <w:rStyle w:val="Hyperlink"/>
            <w:rFonts w:ascii="Arial" w:hAnsi="Arial" w:cs="Arial"/>
            <w:sz w:val="16"/>
            <w:szCs w:val="16"/>
          </w:rPr>
          <w:t>baris.soybilgen@bahcesehir.edu.tr</w:t>
        </w:r>
      </w:hyperlink>
    </w:p>
    <w:p w:rsidR="009C5B58" w:rsidRDefault="009C5B58" w:rsidP="009C5B58">
      <w:pPr>
        <w:ind w:right="42"/>
        <w:rPr>
          <w:b/>
          <w:sz w:val="22"/>
          <w:szCs w:val="22"/>
        </w:rPr>
      </w:pPr>
    </w:p>
    <w:p w:rsidR="009C5B58" w:rsidRDefault="009C5B58" w:rsidP="009C5B58">
      <w:pPr>
        <w:ind w:right="42"/>
        <w:rPr>
          <w:b/>
          <w:sz w:val="22"/>
          <w:szCs w:val="22"/>
        </w:rPr>
      </w:pPr>
    </w:p>
    <w:p w:rsidR="00154EA1" w:rsidRDefault="00154EA1" w:rsidP="00302A2B">
      <w:pPr>
        <w:ind w:left="-360"/>
        <w:rPr>
          <w:b/>
          <w:sz w:val="22"/>
          <w:szCs w:val="22"/>
        </w:rPr>
      </w:pPr>
      <w:r>
        <w:rPr>
          <w:b/>
          <w:sz w:val="22"/>
          <w:szCs w:val="22"/>
        </w:rPr>
        <w:t xml:space="preserve">Tablo1. </w:t>
      </w:r>
      <w:r w:rsidRPr="008C6E50">
        <w:rPr>
          <w:b/>
          <w:sz w:val="22"/>
          <w:szCs w:val="22"/>
        </w:rPr>
        <w:t>B</w:t>
      </w:r>
      <w:r>
        <w:rPr>
          <w:b/>
          <w:sz w:val="22"/>
          <w:szCs w:val="22"/>
        </w:rPr>
        <w:t>etam</w:t>
      </w:r>
      <w:r w:rsidRPr="008C6E50">
        <w:rPr>
          <w:b/>
          <w:sz w:val="22"/>
          <w:szCs w:val="22"/>
        </w:rPr>
        <w:t xml:space="preserve">’ın </w:t>
      </w:r>
      <w:r w:rsidR="00302A2B">
        <w:rPr>
          <w:b/>
          <w:sz w:val="22"/>
          <w:szCs w:val="22"/>
        </w:rPr>
        <w:t>büyüme</w:t>
      </w:r>
      <w:r w:rsidRPr="008C6E50">
        <w:rPr>
          <w:b/>
          <w:sz w:val="22"/>
          <w:szCs w:val="22"/>
        </w:rPr>
        <w:t xml:space="preserve"> ve </w:t>
      </w:r>
      <w:r w:rsidR="00302A2B">
        <w:rPr>
          <w:b/>
          <w:sz w:val="22"/>
          <w:szCs w:val="22"/>
        </w:rPr>
        <w:t>cari a</w:t>
      </w:r>
      <w:r w:rsidRPr="008C6E50">
        <w:rPr>
          <w:b/>
          <w:sz w:val="22"/>
          <w:szCs w:val="22"/>
        </w:rPr>
        <w:t xml:space="preserve">çık </w:t>
      </w:r>
    </w:p>
    <w:p w:rsidR="00C2241D" w:rsidRDefault="00302A2B" w:rsidP="00302A2B">
      <w:pPr>
        <w:ind w:left="-360"/>
        <w:rPr>
          <w:b/>
          <w:sz w:val="22"/>
          <w:szCs w:val="22"/>
        </w:rPr>
      </w:pPr>
      <w:r>
        <w:rPr>
          <w:b/>
          <w:sz w:val="22"/>
          <w:szCs w:val="22"/>
        </w:rPr>
        <w:t>t</w:t>
      </w:r>
      <w:r w:rsidR="00154EA1" w:rsidRPr="008C6E50">
        <w:rPr>
          <w:b/>
          <w:sz w:val="22"/>
          <w:szCs w:val="22"/>
        </w:rPr>
        <w:t>ahminleri</w:t>
      </w:r>
    </w:p>
    <w:p w:rsidR="00CE2137" w:rsidRPr="0070556E" w:rsidRDefault="00CE2137" w:rsidP="00302A2B">
      <w:pPr>
        <w:ind w:right="40"/>
        <w:rPr>
          <w:sz w:val="4"/>
          <w:szCs w:val="4"/>
        </w:rPr>
      </w:pPr>
    </w:p>
    <w:p w:rsidR="00CE2137" w:rsidRPr="00C674EC" w:rsidRDefault="00CE2137" w:rsidP="00CE2137">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CE2137" w:rsidRDefault="00CE2137" w:rsidP="00CE2137">
      <w:pPr>
        <w:spacing w:line="360" w:lineRule="auto"/>
        <w:ind w:left="-360" w:right="42"/>
        <w:rPr>
          <w:b/>
          <w:sz w:val="22"/>
          <w:szCs w:val="22"/>
        </w:rPr>
      </w:pPr>
    </w:p>
    <w:p w:rsidR="00CE2137" w:rsidRDefault="00CE2137" w:rsidP="00CE2137">
      <w:pPr>
        <w:ind w:left="-360"/>
        <w:rPr>
          <w:rFonts w:ascii="Arial" w:hAnsi="Arial" w:cs="Arial"/>
          <w:sz w:val="16"/>
          <w:szCs w:val="16"/>
        </w:rPr>
      </w:pPr>
    </w:p>
    <w:p w:rsidR="00CE2137" w:rsidRDefault="00CE2137" w:rsidP="00302A2B">
      <w:pPr>
        <w:ind w:left="-360"/>
        <w:jc w:val="center"/>
        <w:rPr>
          <w:b/>
          <w:sz w:val="22"/>
          <w:szCs w:val="22"/>
        </w:rPr>
      </w:pPr>
      <w:r>
        <w:rPr>
          <w:b/>
          <w:sz w:val="22"/>
          <w:szCs w:val="22"/>
        </w:rPr>
        <w:t>2.</w:t>
      </w:r>
      <w:r w:rsidR="00111797">
        <w:rPr>
          <w:b/>
          <w:sz w:val="22"/>
          <w:szCs w:val="22"/>
        </w:rPr>
        <w:t xml:space="preserve"> ç</w:t>
      </w:r>
      <w:r>
        <w:rPr>
          <w:b/>
          <w:sz w:val="22"/>
          <w:szCs w:val="22"/>
        </w:rPr>
        <w:t>eyreğe daha olumlu başladık</w:t>
      </w:r>
    </w:p>
    <w:p w:rsidR="00CE2137" w:rsidRDefault="00CE2137" w:rsidP="00CE2137">
      <w:pPr>
        <w:spacing w:line="360" w:lineRule="auto"/>
        <w:ind w:left="-360" w:right="42"/>
        <w:jc w:val="both"/>
        <w:rPr>
          <w:sz w:val="22"/>
          <w:szCs w:val="22"/>
        </w:rPr>
      </w:pPr>
    </w:p>
    <w:p w:rsidR="00111797" w:rsidRDefault="00111797" w:rsidP="00CE2137">
      <w:pPr>
        <w:spacing w:line="360" w:lineRule="auto"/>
        <w:ind w:left="-360" w:right="42"/>
        <w:jc w:val="both"/>
        <w:rPr>
          <w:sz w:val="22"/>
          <w:szCs w:val="22"/>
        </w:rPr>
      </w:pPr>
      <w:r>
        <w:rPr>
          <w:sz w:val="22"/>
          <w:szCs w:val="22"/>
        </w:rPr>
        <w:t xml:space="preserve">2. çeyreğe dair yeni veriler </w:t>
      </w:r>
      <w:r w:rsidR="00716027">
        <w:rPr>
          <w:sz w:val="22"/>
          <w:szCs w:val="22"/>
        </w:rPr>
        <w:t xml:space="preserve">iç talebin </w:t>
      </w:r>
      <w:r>
        <w:rPr>
          <w:sz w:val="22"/>
          <w:szCs w:val="22"/>
        </w:rPr>
        <w:t xml:space="preserve">canlandığını gösteriyor. İkinci çeyrekte büyüme GSYH’ta birinci çeyrekte meydana gelen yüzde 0,4 daralmayı telafi edecek. Canlanma hem yatırım hem de tüketim harcamalarına yansıyor. İmalat cephesinde dayanıksız tüketim malları ve yatırım malları imalatı artarken, ithalatta da hem tüketim hem yatırım mallarında Mayıs ayında yüksek artışlar var. İthalattaki artışa paralel olarak özel tüketim vergisi (ÖTV)’de artış gösteriyor. </w:t>
      </w:r>
    </w:p>
    <w:p w:rsidR="00111797" w:rsidRDefault="00111797" w:rsidP="00CE2137">
      <w:pPr>
        <w:spacing w:line="360" w:lineRule="auto"/>
        <w:ind w:left="-360" w:right="42"/>
        <w:jc w:val="both"/>
        <w:rPr>
          <w:sz w:val="22"/>
          <w:szCs w:val="22"/>
        </w:rPr>
      </w:pPr>
    </w:p>
    <w:p w:rsidR="00CE2137" w:rsidRDefault="00111797" w:rsidP="005E3F6C">
      <w:pPr>
        <w:spacing w:line="360" w:lineRule="auto"/>
        <w:ind w:left="-360" w:right="42"/>
        <w:jc w:val="both"/>
        <w:rPr>
          <w:sz w:val="22"/>
          <w:szCs w:val="22"/>
        </w:rPr>
      </w:pPr>
      <w:r>
        <w:rPr>
          <w:sz w:val="22"/>
          <w:szCs w:val="22"/>
        </w:rPr>
        <w:t xml:space="preserve">Diğer yandan canlanmanın ne kadar süreceği henüz belirsiz. Kapasite kullanım oranında (KKO) Mayısı takiben Haziran ayında da düşüş gözlendi. </w:t>
      </w:r>
      <w:r>
        <w:rPr>
          <w:sz w:val="22"/>
          <w:szCs w:val="22"/>
        </w:rPr>
        <w:lastRenderedPageBreak/>
        <w:t>Reel kesim güven endeksi ise giderek bozuluyor</w:t>
      </w:r>
      <w:r w:rsidR="00096B89">
        <w:rPr>
          <w:sz w:val="22"/>
          <w:szCs w:val="22"/>
        </w:rPr>
        <w:t xml:space="preserve">. İhracatta Mayıs ayında </w:t>
      </w:r>
      <w:r w:rsidR="00716027">
        <w:rPr>
          <w:sz w:val="22"/>
          <w:szCs w:val="22"/>
        </w:rPr>
        <w:t>küçük bir düşüş var. İkinci çeyrekte net ihracat hala pozitif katkı</w:t>
      </w:r>
      <w:r w:rsidR="00301371">
        <w:rPr>
          <w:sz w:val="22"/>
          <w:szCs w:val="22"/>
        </w:rPr>
        <w:t xml:space="preserve"> yapsa da</w:t>
      </w:r>
      <w:r w:rsidR="00716027">
        <w:rPr>
          <w:sz w:val="22"/>
          <w:szCs w:val="22"/>
        </w:rPr>
        <w:t xml:space="preserve"> ithalattaki yüksek artış net ihracatın büyümeye katkısını düşürdü. </w:t>
      </w:r>
      <w:r w:rsidR="00096B89">
        <w:rPr>
          <w:sz w:val="22"/>
          <w:szCs w:val="22"/>
        </w:rPr>
        <w:t xml:space="preserve">2. çeyrekteki canlanmanın yılın </w:t>
      </w:r>
      <w:r w:rsidR="00AB5A56">
        <w:rPr>
          <w:sz w:val="22"/>
          <w:szCs w:val="22"/>
        </w:rPr>
        <w:t>takip eden</w:t>
      </w:r>
      <w:r w:rsidR="00096B89">
        <w:rPr>
          <w:sz w:val="22"/>
          <w:szCs w:val="22"/>
        </w:rPr>
        <w:t xml:space="preserve"> çeyreklerine yansıyıp yansımayacağı</w:t>
      </w:r>
      <w:r w:rsidR="00716027">
        <w:rPr>
          <w:sz w:val="22"/>
          <w:szCs w:val="22"/>
        </w:rPr>
        <w:t xml:space="preserve"> da </w:t>
      </w:r>
      <w:r w:rsidR="00096B89">
        <w:rPr>
          <w:sz w:val="22"/>
          <w:szCs w:val="22"/>
        </w:rPr>
        <w:t>henüz net</w:t>
      </w:r>
      <w:r w:rsidR="009A56AA">
        <w:rPr>
          <w:sz w:val="22"/>
          <w:szCs w:val="22"/>
        </w:rPr>
        <w:t>leşmiş</w:t>
      </w:r>
      <w:r w:rsidR="00096B89">
        <w:rPr>
          <w:sz w:val="22"/>
          <w:szCs w:val="22"/>
        </w:rPr>
        <w:t xml:space="preserve"> değil.</w:t>
      </w:r>
    </w:p>
    <w:p w:rsidR="005E3F6C" w:rsidRDefault="005E3F6C" w:rsidP="005E3F6C">
      <w:pPr>
        <w:spacing w:line="360" w:lineRule="auto"/>
        <w:ind w:left="-360" w:right="42"/>
        <w:jc w:val="both"/>
        <w:rPr>
          <w:sz w:val="22"/>
          <w:szCs w:val="22"/>
        </w:rPr>
      </w:pPr>
    </w:p>
    <w:p w:rsidR="00CE2137" w:rsidRDefault="005E3F6C" w:rsidP="00CE2137">
      <w:pPr>
        <w:spacing w:line="360" w:lineRule="auto"/>
        <w:ind w:left="-360" w:right="42"/>
        <w:jc w:val="both"/>
        <w:rPr>
          <w:sz w:val="22"/>
          <w:szCs w:val="22"/>
        </w:rPr>
      </w:pPr>
      <w:r>
        <w:rPr>
          <w:sz w:val="22"/>
          <w:szCs w:val="22"/>
        </w:rPr>
        <w:t>İkinci çeyrekteki canlanma politika yapıc</w:t>
      </w:r>
      <w:r w:rsidR="00BE62AE">
        <w:rPr>
          <w:sz w:val="22"/>
          <w:szCs w:val="22"/>
        </w:rPr>
        <w:t>ılar açısından genişlemeci politikalar için beklemede kalma sinyali veriyor.</w:t>
      </w:r>
      <w:r>
        <w:rPr>
          <w:sz w:val="22"/>
          <w:szCs w:val="22"/>
        </w:rPr>
        <w:t xml:space="preserve"> </w:t>
      </w:r>
      <w:r w:rsidR="00BE62AE">
        <w:rPr>
          <w:sz w:val="22"/>
          <w:szCs w:val="22"/>
        </w:rPr>
        <w:t xml:space="preserve">Ancak bu canlanmaya rağmen baz etkisiyle yıllık büyüme oldukça düşük kalabilir. </w:t>
      </w:r>
      <w:r w:rsidR="00445AE4">
        <w:rPr>
          <w:sz w:val="22"/>
          <w:szCs w:val="22"/>
        </w:rPr>
        <w:t xml:space="preserve">İç talepte canlılık </w:t>
      </w:r>
      <w:r w:rsidR="00B33E3E">
        <w:rPr>
          <w:sz w:val="22"/>
          <w:szCs w:val="22"/>
        </w:rPr>
        <w:t>net ihracat</w:t>
      </w:r>
      <w:r w:rsidR="00445AE4">
        <w:rPr>
          <w:sz w:val="22"/>
          <w:szCs w:val="22"/>
        </w:rPr>
        <w:t xml:space="preserve"> katkısını azaltabilir. </w:t>
      </w:r>
      <w:r w:rsidR="00BE62AE">
        <w:rPr>
          <w:sz w:val="22"/>
          <w:szCs w:val="22"/>
        </w:rPr>
        <w:t xml:space="preserve">Betam’ın 2. </w:t>
      </w:r>
      <w:r w:rsidR="009317FD">
        <w:rPr>
          <w:sz w:val="22"/>
          <w:szCs w:val="22"/>
        </w:rPr>
        <w:t>ç</w:t>
      </w:r>
      <w:r w:rsidR="00BE62AE">
        <w:rPr>
          <w:sz w:val="22"/>
          <w:szCs w:val="22"/>
        </w:rPr>
        <w:t xml:space="preserve">eyrek </w:t>
      </w:r>
      <w:r w:rsidR="000669B9">
        <w:rPr>
          <w:sz w:val="22"/>
          <w:szCs w:val="22"/>
        </w:rPr>
        <w:t>için büyü</w:t>
      </w:r>
      <w:r w:rsidR="00BE62AE">
        <w:rPr>
          <w:sz w:val="22"/>
          <w:szCs w:val="22"/>
        </w:rPr>
        <w:t>me tahmini</w:t>
      </w:r>
      <w:r w:rsidR="000669B9">
        <w:rPr>
          <w:sz w:val="22"/>
          <w:szCs w:val="22"/>
        </w:rPr>
        <w:t xml:space="preserve"> ithalattaki yüksek artışı takiben yüzde 1,0’den yüzde 0,6’ya düştü. Buna göre geçen yılın aynı çeyreğine göre büyüme oranını da yüzde 2,3 olarak hesaplıyoruz.</w:t>
      </w:r>
      <w:r w:rsidR="003555B2">
        <w:rPr>
          <w:sz w:val="22"/>
          <w:szCs w:val="22"/>
        </w:rPr>
        <w:t xml:space="preserve"> </w:t>
      </w:r>
    </w:p>
    <w:p w:rsidR="00D837A8" w:rsidRDefault="00D837A8" w:rsidP="00AF0A2F">
      <w:pPr>
        <w:spacing w:line="360" w:lineRule="auto"/>
        <w:ind w:left="-360"/>
        <w:jc w:val="center"/>
        <w:rPr>
          <w:b/>
          <w:sz w:val="22"/>
          <w:szCs w:val="22"/>
        </w:rPr>
      </w:pPr>
    </w:p>
    <w:p w:rsidR="00526CC9" w:rsidRDefault="00374C5F" w:rsidP="00AF0A2F">
      <w:pPr>
        <w:spacing w:line="360" w:lineRule="auto"/>
        <w:ind w:left="-360" w:right="42"/>
        <w:jc w:val="center"/>
        <w:rPr>
          <w:b/>
          <w:sz w:val="22"/>
          <w:szCs w:val="22"/>
        </w:rPr>
      </w:pPr>
      <w:r>
        <w:rPr>
          <w:b/>
          <w:sz w:val="22"/>
          <w:szCs w:val="22"/>
        </w:rPr>
        <w:t>Mayıs ayında tüketim canlandı</w:t>
      </w:r>
    </w:p>
    <w:p w:rsidR="00526CC9" w:rsidRDefault="00526CC9" w:rsidP="00AF0A2F">
      <w:pPr>
        <w:spacing w:line="360" w:lineRule="auto"/>
        <w:ind w:left="-360" w:right="42"/>
        <w:jc w:val="center"/>
        <w:rPr>
          <w:b/>
          <w:sz w:val="22"/>
          <w:szCs w:val="22"/>
        </w:rPr>
      </w:pPr>
    </w:p>
    <w:p w:rsidR="00DD6811" w:rsidRDefault="00374C5F" w:rsidP="00695F24">
      <w:pPr>
        <w:spacing w:line="360" w:lineRule="auto"/>
        <w:ind w:left="-360" w:right="42"/>
        <w:jc w:val="both"/>
        <w:rPr>
          <w:sz w:val="22"/>
          <w:szCs w:val="22"/>
        </w:rPr>
      </w:pPr>
      <w:r>
        <w:rPr>
          <w:sz w:val="22"/>
          <w:szCs w:val="22"/>
        </w:rPr>
        <w:t>Mayıs ayı verileri özel tüketim harcamalarında gözle görülür bir canlanmayı işaret ediyor.Tüketim malı ithalatı Mayıs ayında</w:t>
      </w:r>
      <w:r w:rsidR="00FF6D59">
        <w:rPr>
          <w:sz w:val="22"/>
          <w:szCs w:val="22"/>
        </w:rPr>
        <w:t xml:space="preserve"> çok büyük bir artış gösterdi ve</w:t>
      </w:r>
      <w:r>
        <w:rPr>
          <w:sz w:val="22"/>
          <w:szCs w:val="22"/>
        </w:rPr>
        <w:t xml:space="preserve"> bir önceki aya göre yüzde 18,1 arttı. </w:t>
      </w:r>
      <w:r w:rsidR="00FF6D59">
        <w:rPr>
          <w:sz w:val="22"/>
          <w:szCs w:val="22"/>
        </w:rPr>
        <w:t xml:space="preserve">Dayanıksız ve dayanıklı tüketim malı imalatı da yine Mayıs ayında sırasıyla yüzde 4,4 ve yüzde 1,9 arttı. İthalattaki artışa paralel olarak ÖTV gelirleri de Mayıs ayında yüzde 5,4’lük bir artış gösterdi. Son olarak tüketici güven endeksi de Mayıs ayında bir önceki aya göre yüzde 0,9 arttı. Bu gelişmeler ışığında özel tüketim harcamalarının ikinci çeyrekte büyümeye pozitif katkı yapacağını düşünüyoruz. </w:t>
      </w:r>
    </w:p>
    <w:p w:rsidR="00526CC9" w:rsidRDefault="00695F24" w:rsidP="00695F24">
      <w:pPr>
        <w:spacing w:line="360" w:lineRule="auto"/>
        <w:ind w:left="-360" w:right="42"/>
        <w:jc w:val="both"/>
        <w:rPr>
          <w:sz w:val="22"/>
          <w:szCs w:val="22"/>
        </w:rPr>
      </w:pPr>
      <w:r>
        <w:rPr>
          <w:sz w:val="22"/>
          <w:szCs w:val="22"/>
        </w:rPr>
        <w:t xml:space="preserve">  </w:t>
      </w:r>
      <w:r w:rsidR="00323169">
        <w:rPr>
          <w:sz w:val="22"/>
          <w:szCs w:val="22"/>
        </w:rPr>
        <w:t xml:space="preserve">   </w:t>
      </w:r>
    </w:p>
    <w:p w:rsidR="00FA103F" w:rsidRDefault="00FA103F" w:rsidP="00BA025C">
      <w:pPr>
        <w:spacing w:line="360" w:lineRule="auto"/>
        <w:ind w:left="-360" w:right="42"/>
        <w:jc w:val="center"/>
        <w:rPr>
          <w:b/>
          <w:sz w:val="22"/>
          <w:szCs w:val="22"/>
        </w:rPr>
      </w:pPr>
    </w:p>
    <w:p w:rsidR="00FA103F" w:rsidRDefault="00FA103F" w:rsidP="00BA025C">
      <w:pPr>
        <w:spacing w:line="360" w:lineRule="auto"/>
        <w:ind w:left="-360" w:right="42"/>
        <w:jc w:val="center"/>
        <w:rPr>
          <w:b/>
          <w:sz w:val="22"/>
          <w:szCs w:val="22"/>
        </w:rPr>
      </w:pPr>
    </w:p>
    <w:p w:rsidR="00AF0A2F" w:rsidRDefault="00FF6D59" w:rsidP="00154EA1">
      <w:pPr>
        <w:spacing w:line="360" w:lineRule="auto"/>
        <w:ind w:right="42"/>
        <w:jc w:val="center"/>
        <w:rPr>
          <w:b/>
          <w:sz w:val="22"/>
          <w:szCs w:val="22"/>
        </w:rPr>
      </w:pPr>
      <w:r>
        <w:rPr>
          <w:b/>
          <w:sz w:val="22"/>
          <w:szCs w:val="22"/>
        </w:rPr>
        <w:lastRenderedPageBreak/>
        <w:t>Yatırım karışık sinyaller veriyor</w:t>
      </w:r>
    </w:p>
    <w:p w:rsidR="00AF0A2F" w:rsidRDefault="00AF0A2F" w:rsidP="00C466DC">
      <w:pPr>
        <w:spacing w:line="360" w:lineRule="auto"/>
        <w:ind w:left="-360" w:right="42"/>
        <w:jc w:val="center"/>
        <w:rPr>
          <w:b/>
          <w:sz w:val="22"/>
          <w:szCs w:val="22"/>
        </w:rPr>
      </w:pPr>
    </w:p>
    <w:p w:rsidR="00526CC9" w:rsidRDefault="00FF6D59" w:rsidP="00B20A56">
      <w:pPr>
        <w:spacing w:line="360" w:lineRule="auto"/>
        <w:ind w:left="-360" w:right="42"/>
        <w:jc w:val="both"/>
        <w:rPr>
          <w:sz w:val="22"/>
          <w:szCs w:val="22"/>
        </w:rPr>
      </w:pPr>
      <w:r>
        <w:rPr>
          <w:sz w:val="22"/>
          <w:szCs w:val="22"/>
        </w:rPr>
        <w:t>2012 ikinci çeyrekte özel yatırım harcamlarını ölçmek için kullandığımız ekonomik göstergeler karışık sinyaller veriyor. Kapasite kullanım oranı (KKO) Nisan, Mayıs ve Haziran aylarında sırasıyla yüzde 0,4, yüzde 1,1 ve yüzde 1,4 düştü. Reel kesim güven endeksi</w:t>
      </w:r>
      <w:r w:rsidR="00F557C3">
        <w:rPr>
          <w:sz w:val="22"/>
          <w:szCs w:val="22"/>
        </w:rPr>
        <w:t xml:space="preserve"> (RKGE)</w:t>
      </w:r>
      <w:r>
        <w:rPr>
          <w:sz w:val="22"/>
          <w:szCs w:val="22"/>
        </w:rPr>
        <w:t xml:space="preserve"> de yine </w:t>
      </w:r>
      <w:r w:rsidR="00F557C3">
        <w:rPr>
          <w:sz w:val="22"/>
          <w:szCs w:val="22"/>
        </w:rPr>
        <w:t>ikinci çeyrekte sürekli bir düşüş eğilimindeydi. RKGE Nisan, Mayıs ve Haziran aylarında sırasıyla yüzde 0,7, yüzde 1,7 ve yüzde 3,5 azaldı.</w:t>
      </w:r>
      <w:r w:rsidR="00FA103F">
        <w:rPr>
          <w:sz w:val="22"/>
          <w:szCs w:val="22"/>
        </w:rPr>
        <w:t xml:space="preserve"> Hem reel kesim güven endeksi hem de kapasite kullanım oranındaki düşüş sanayi üretim endeksinde bir düşüş beklentisi yaratıyor.</w:t>
      </w:r>
      <w:r>
        <w:rPr>
          <w:sz w:val="22"/>
          <w:szCs w:val="22"/>
        </w:rPr>
        <w:t xml:space="preserve"> Buna karşılık SÜE Nisan ayında yüzde 0,9, Mayıs ayında ise yüzde 1,1 arttı. </w:t>
      </w:r>
      <w:r w:rsidR="00FA103F">
        <w:rPr>
          <w:sz w:val="22"/>
          <w:szCs w:val="22"/>
        </w:rPr>
        <w:t>SÜE’i artarken KKO’nın düşmesi reel kesimin yatırım yaptığını gösteriyor olabilir ama yatırım malı ithalatı da</w:t>
      </w:r>
      <w:r w:rsidR="00F557C3">
        <w:rPr>
          <w:sz w:val="22"/>
          <w:szCs w:val="22"/>
        </w:rPr>
        <w:t xml:space="preserve"> çok dalgalı bir seyir izliyor. Nisan ayındaki yüzde 11,7’lük büyük </w:t>
      </w:r>
      <w:r w:rsidR="00FA103F">
        <w:rPr>
          <w:sz w:val="22"/>
          <w:szCs w:val="22"/>
        </w:rPr>
        <w:t>bir düşüş gösterdikten</w:t>
      </w:r>
      <w:r w:rsidR="00F557C3">
        <w:rPr>
          <w:sz w:val="22"/>
          <w:szCs w:val="22"/>
        </w:rPr>
        <w:t xml:space="preserve"> sonra Mayı</w:t>
      </w:r>
      <w:r w:rsidR="00FA103F">
        <w:rPr>
          <w:sz w:val="22"/>
          <w:szCs w:val="22"/>
        </w:rPr>
        <w:t>s</w:t>
      </w:r>
      <w:r w:rsidR="00F557C3">
        <w:rPr>
          <w:sz w:val="22"/>
          <w:szCs w:val="22"/>
        </w:rPr>
        <w:t xml:space="preserve"> ayında yüzde 10,6 artarak güçlü bir toparlanma gösterdi.</w:t>
      </w:r>
      <w:r w:rsidR="00FA103F">
        <w:rPr>
          <w:sz w:val="22"/>
          <w:szCs w:val="22"/>
        </w:rPr>
        <w:t xml:space="preserve"> Genel olarak 2012 2. çeyrekte özel yatırım malı harcamaları büyük bir belirsizlik gösteriyor.</w:t>
      </w:r>
      <w:r>
        <w:rPr>
          <w:sz w:val="22"/>
          <w:szCs w:val="22"/>
        </w:rPr>
        <w:t xml:space="preserve"> </w:t>
      </w:r>
    </w:p>
    <w:p w:rsidR="00B20A56" w:rsidRPr="00B20A56" w:rsidRDefault="00B20A56" w:rsidP="00B20A56">
      <w:pPr>
        <w:spacing w:line="360" w:lineRule="auto"/>
        <w:ind w:left="-360" w:right="42"/>
        <w:jc w:val="both"/>
        <w:rPr>
          <w:sz w:val="22"/>
          <w:szCs w:val="22"/>
        </w:rPr>
      </w:pPr>
    </w:p>
    <w:p w:rsidR="00526CC9" w:rsidRDefault="00F557C3" w:rsidP="00526CC9">
      <w:pPr>
        <w:spacing w:line="360" w:lineRule="auto"/>
        <w:ind w:left="-360" w:right="42"/>
        <w:jc w:val="center"/>
        <w:rPr>
          <w:b/>
          <w:sz w:val="22"/>
          <w:szCs w:val="22"/>
        </w:rPr>
      </w:pPr>
      <w:r>
        <w:rPr>
          <w:b/>
          <w:sz w:val="22"/>
          <w:szCs w:val="22"/>
        </w:rPr>
        <w:t>İthalatta Mayıs</w:t>
      </w:r>
      <w:r w:rsidR="0046178B">
        <w:rPr>
          <w:b/>
          <w:sz w:val="22"/>
          <w:szCs w:val="22"/>
        </w:rPr>
        <w:t xml:space="preserve"> ayında büyük sıçrama</w:t>
      </w:r>
    </w:p>
    <w:p w:rsidR="00526CC9" w:rsidRDefault="00526CC9" w:rsidP="00526CC9">
      <w:pPr>
        <w:spacing w:line="360" w:lineRule="auto"/>
        <w:ind w:left="-360" w:right="42"/>
        <w:jc w:val="center"/>
        <w:rPr>
          <w:b/>
          <w:sz w:val="22"/>
          <w:szCs w:val="22"/>
        </w:rPr>
      </w:pPr>
    </w:p>
    <w:p w:rsidR="004C0A8D" w:rsidRPr="00EE22FB" w:rsidRDefault="00BA025C" w:rsidP="003B2FC4">
      <w:pPr>
        <w:spacing w:line="360" w:lineRule="auto"/>
        <w:ind w:left="-360" w:right="42"/>
        <w:jc w:val="both"/>
        <w:rPr>
          <w:sz w:val="22"/>
          <w:szCs w:val="22"/>
        </w:rPr>
      </w:pPr>
      <w:r>
        <w:rPr>
          <w:sz w:val="22"/>
          <w:szCs w:val="22"/>
        </w:rPr>
        <w:t>Şekil 2 TÜİK’in açıkladığı mevsim ve takvim etkisinden arındırılmış ihracat ve ithalat miktar endeksleri</w:t>
      </w:r>
      <w:r w:rsidR="00B260EF">
        <w:rPr>
          <w:sz w:val="22"/>
          <w:szCs w:val="22"/>
        </w:rPr>
        <w:t>ni</w:t>
      </w:r>
      <w:r>
        <w:rPr>
          <w:sz w:val="22"/>
          <w:szCs w:val="22"/>
        </w:rPr>
        <w:t xml:space="preserve"> gösteriyor. </w:t>
      </w:r>
      <w:r w:rsidR="00F557C3">
        <w:rPr>
          <w:sz w:val="22"/>
          <w:szCs w:val="22"/>
        </w:rPr>
        <w:t xml:space="preserve">Mayıs </w:t>
      </w:r>
      <w:r w:rsidR="00A737F4">
        <w:rPr>
          <w:sz w:val="22"/>
          <w:szCs w:val="22"/>
        </w:rPr>
        <w:t>2012’de bir önceki aya</w:t>
      </w:r>
      <w:r>
        <w:rPr>
          <w:sz w:val="22"/>
          <w:szCs w:val="22"/>
        </w:rPr>
        <w:t xml:space="preserve"> göre ihracat miktar endeksi y</w:t>
      </w:r>
      <w:r w:rsidR="00A737F4">
        <w:rPr>
          <w:sz w:val="22"/>
          <w:szCs w:val="22"/>
        </w:rPr>
        <w:t xml:space="preserve">üzde </w:t>
      </w:r>
      <w:r w:rsidR="00F557C3">
        <w:rPr>
          <w:sz w:val="22"/>
          <w:szCs w:val="22"/>
        </w:rPr>
        <w:t>0,6 azalırken</w:t>
      </w:r>
      <w:r w:rsidR="003B2FC4">
        <w:rPr>
          <w:sz w:val="22"/>
          <w:szCs w:val="22"/>
        </w:rPr>
        <w:t>,</w:t>
      </w:r>
      <w:r w:rsidR="00A737F4">
        <w:rPr>
          <w:sz w:val="22"/>
          <w:szCs w:val="22"/>
        </w:rPr>
        <w:t xml:space="preserve"> ithalat miktar endeksi</w:t>
      </w:r>
      <w:r w:rsidR="003B2FC4">
        <w:rPr>
          <w:sz w:val="22"/>
          <w:szCs w:val="22"/>
        </w:rPr>
        <w:t xml:space="preserve"> ise</w:t>
      </w:r>
      <w:r w:rsidR="00EC4125">
        <w:rPr>
          <w:sz w:val="22"/>
          <w:szCs w:val="22"/>
        </w:rPr>
        <w:t xml:space="preserve"> yüzde </w:t>
      </w:r>
      <w:r w:rsidR="00F557C3">
        <w:rPr>
          <w:sz w:val="22"/>
          <w:szCs w:val="22"/>
        </w:rPr>
        <w:t>6,3</w:t>
      </w:r>
      <w:r w:rsidR="003B2FC4">
        <w:rPr>
          <w:sz w:val="22"/>
          <w:szCs w:val="22"/>
        </w:rPr>
        <w:t xml:space="preserve"> </w:t>
      </w:r>
      <w:r w:rsidR="00F557C3">
        <w:rPr>
          <w:sz w:val="22"/>
          <w:szCs w:val="22"/>
        </w:rPr>
        <w:t>arttı</w:t>
      </w:r>
      <w:r>
        <w:rPr>
          <w:sz w:val="22"/>
          <w:szCs w:val="22"/>
        </w:rPr>
        <w:t>.</w:t>
      </w:r>
      <w:r w:rsidR="0046178B">
        <w:rPr>
          <w:sz w:val="22"/>
          <w:szCs w:val="22"/>
        </w:rPr>
        <w:t xml:space="preserve"> </w:t>
      </w:r>
      <w:r w:rsidR="00F557C3">
        <w:rPr>
          <w:sz w:val="22"/>
          <w:szCs w:val="22"/>
        </w:rPr>
        <w:t>İthalattaki bu artış net ihracatın büyümeye olan pozitif katkısını büyük oranda sınırlayacak</w:t>
      </w:r>
      <w:r w:rsidR="00FA103F">
        <w:rPr>
          <w:sz w:val="22"/>
          <w:szCs w:val="22"/>
        </w:rPr>
        <w:t xml:space="preserve"> gibi görünüyor</w:t>
      </w:r>
      <w:r w:rsidR="00F557C3">
        <w:rPr>
          <w:sz w:val="22"/>
          <w:szCs w:val="22"/>
        </w:rPr>
        <w:t>.</w:t>
      </w:r>
    </w:p>
    <w:p w:rsidR="009805A1" w:rsidRDefault="009805A1" w:rsidP="00CE2137">
      <w:pPr>
        <w:spacing w:line="360" w:lineRule="auto"/>
        <w:ind w:right="42"/>
        <w:jc w:val="center"/>
        <w:rPr>
          <w:b/>
          <w:sz w:val="22"/>
          <w:szCs w:val="22"/>
        </w:rPr>
      </w:pPr>
    </w:p>
    <w:p w:rsidR="00154EA1" w:rsidRDefault="00154EA1" w:rsidP="00154EA1">
      <w:pPr>
        <w:spacing w:line="360" w:lineRule="auto"/>
        <w:ind w:right="42"/>
        <w:rPr>
          <w:b/>
          <w:sz w:val="22"/>
          <w:szCs w:val="22"/>
        </w:rPr>
      </w:pPr>
    </w:p>
    <w:p w:rsidR="00154EA1" w:rsidRDefault="00154EA1" w:rsidP="00154EA1">
      <w:pPr>
        <w:spacing w:line="360" w:lineRule="auto"/>
        <w:ind w:right="42"/>
        <w:jc w:val="center"/>
        <w:rPr>
          <w:b/>
          <w:sz w:val="22"/>
          <w:szCs w:val="22"/>
        </w:rPr>
      </w:pPr>
    </w:p>
    <w:p w:rsidR="00734E7B" w:rsidRDefault="00734E7B" w:rsidP="00154EA1">
      <w:pPr>
        <w:spacing w:line="360" w:lineRule="auto"/>
        <w:ind w:right="42"/>
        <w:jc w:val="center"/>
        <w:rPr>
          <w:b/>
          <w:sz w:val="22"/>
          <w:szCs w:val="22"/>
        </w:rPr>
        <w:sectPr w:rsidR="00734E7B" w:rsidSect="00004B78">
          <w:type w:val="continuous"/>
          <w:pgSz w:w="11906" w:h="16838"/>
          <w:pgMar w:top="1417" w:right="1417" w:bottom="1417" w:left="1417" w:header="708" w:footer="708" w:gutter="0"/>
          <w:cols w:num="2" w:space="708" w:equalWidth="0">
            <w:col w:w="4182" w:space="708"/>
            <w:col w:w="4182"/>
          </w:cols>
          <w:docGrid w:linePitch="360"/>
        </w:sectPr>
      </w:pPr>
    </w:p>
    <w:p w:rsidR="00CE2137" w:rsidRDefault="00CE2137" w:rsidP="00154EA1">
      <w:pPr>
        <w:spacing w:line="360" w:lineRule="auto"/>
        <w:ind w:right="42"/>
        <w:jc w:val="center"/>
        <w:rPr>
          <w:b/>
          <w:sz w:val="22"/>
          <w:szCs w:val="22"/>
        </w:rPr>
      </w:pPr>
      <w:r>
        <w:rPr>
          <w:b/>
          <w:sz w:val="22"/>
          <w:szCs w:val="22"/>
        </w:rPr>
        <w:lastRenderedPageBreak/>
        <w:t>Cari a</w:t>
      </w:r>
      <w:r w:rsidRPr="003A3575">
        <w:rPr>
          <w:b/>
          <w:sz w:val="22"/>
          <w:szCs w:val="22"/>
        </w:rPr>
        <w:t>çık</w:t>
      </w:r>
      <w:r>
        <w:rPr>
          <w:b/>
          <w:sz w:val="22"/>
          <w:szCs w:val="22"/>
        </w:rPr>
        <w:t xml:space="preserve"> düşmeye devam ediyor</w:t>
      </w:r>
    </w:p>
    <w:p w:rsidR="008F13ED" w:rsidRPr="003A3575" w:rsidRDefault="008F13ED" w:rsidP="00301371">
      <w:pPr>
        <w:spacing w:line="360" w:lineRule="auto"/>
        <w:ind w:right="42"/>
        <w:jc w:val="center"/>
        <w:rPr>
          <w:b/>
          <w:sz w:val="22"/>
          <w:szCs w:val="22"/>
        </w:rPr>
      </w:pPr>
    </w:p>
    <w:p w:rsidR="001E5423" w:rsidRDefault="00CA5C65" w:rsidP="00734E7B">
      <w:pPr>
        <w:spacing w:line="360" w:lineRule="auto"/>
        <w:ind w:left="-360" w:right="42"/>
        <w:jc w:val="both"/>
        <w:rPr>
          <w:sz w:val="22"/>
          <w:szCs w:val="22"/>
        </w:rPr>
      </w:pPr>
      <w:r>
        <w:rPr>
          <w:sz w:val="22"/>
          <w:szCs w:val="22"/>
        </w:rPr>
        <w:t>Mayıs ayında</w:t>
      </w:r>
      <w:r w:rsidR="00012977">
        <w:rPr>
          <w:sz w:val="22"/>
          <w:szCs w:val="22"/>
        </w:rPr>
        <w:t xml:space="preserve"> geçen yıl 10,2 milyar dolarken bu yıl </w:t>
      </w:r>
      <w:r>
        <w:rPr>
          <w:sz w:val="22"/>
          <w:szCs w:val="22"/>
        </w:rPr>
        <w:t>8,5 milyar dolar</w:t>
      </w:r>
      <w:r w:rsidR="00012977">
        <w:rPr>
          <w:sz w:val="22"/>
          <w:szCs w:val="22"/>
        </w:rPr>
        <w:t>a düşen dış ticaret açığ</w:t>
      </w:r>
      <w:r w:rsidR="00DD0701">
        <w:rPr>
          <w:sz w:val="22"/>
          <w:szCs w:val="22"/>
        </w:rPr>
        <w:t>ın</w:t>
      </w:r>
      <w:r w:rsidR="00012977">
        <w:rPr>
          <w:sz w:val="22"/>
          <w:szCs w:val="22"/>
        </w:rPr>
        <w:t>a</w:t>
      </w:r>
      <w:r>
        <w:rPr>
          <w:sz w:val="22"/>
          <w:szCs w:val="22"/>
        </w:rPr>
        <w:t xml:space="preserve"> </w:t>
      </w:r>
      <w:r w:rsidR="00012977">
        <w:rPr>
          <w:sz w:val="22"/>
          <w:szCs w:val="22"/>
        </w:rPr>
        <w:t>paralel</w:t>
      </w:r>
      <w:r>
        <w:rPr>
          <w:sz w:val="22"/>
          <w:szCs w:val="22"/>
        </w:rPr>
        <w:t xml:space="preserve"> </w:t>
      </w:r>
      <w:r w:rsidR="00DD0701">
        <w:rPr>
          <w:sz w:val="22"/>
          <w:szCs w:val="22"/>
        </w:rPr>
        <w:t>olarak cari açık</w:t>
      </w:r>
      <w:r w:rsidR="00012977">
        <w:rPr>
          <w:sz w:val="22"/>
          <w:szCs w:val="22"/>
        </w:rPr>
        <w:t xml:space="preserve"> </w:t>
      </w:r>
      <w:r w:rsidR="00CD10A1">
        <w:rPr>
          <w:sz w:val="22"/>
          <w:szCs w:val="22"/>
        </w:rPr>
        <w:t xml:space="preserve">da </w:t>
      </w:r>
      <w:r w:rsidR="00DD0701">
        <w:rPr>
          <w:sz w:val="22"/>
          <w:szCs w:val="22"/>
        </w:rPr>
        <w:t>düştü</w:t>
      </w:r>
      <w:r w:rsidR="00734E7B">
        <w:rPr>
          <w:sz w:val="22"/>
          <w:szCs w:val="22"/>
        </w:rPr>
        <w:t>. Mayıs ayında cari açık</w:t>
      </w:r>
      <w:r w:rsidR="00CD10A1">
        <w:rPr>
          <w:sz w:val="22"/>
          <w:szCs w:val="22"/>
        </w:rPr>
        <w:t xml:space="preserve"> </w:t>
      </w:r>
      <w:r w:rsidR="00734E7B">
        <w:rPr>
          <w:sz w:val="22"/>
          <w:szCs w:val="22"/>
        </w:rPr>
        <w:t>5,8</w:t>
      </w:r>
      <w:r w:rsidR="00CD10A1">
        <w:rPr>
          <w:sz w:val="22"/>
          <w:szCs w:val="22"/>
        </w:rPr>
        <w:t xml:space="preserve"> milyar dolar düzeyinde </w:t>
      </w:r>
      <w:r w:rsidR="00734E7B">
        <w:rPr>
          <w:sz w:val="22"/>
          <w:szCs w:val="22"/>
        </w:rPr>
        <w:t>gerçekleşti</w:t>
      </w:r>
      <w:r w:rsidR="00012977">
        <w:rPr>
          <w:sz w:val="22"/>
          <w:szCs w:val="22"/>
        </w:rPr>
        <w:t>.</w:t>
      </w:r>
      <w:r w:rsidR="00734E7B">
        <w:rPr>
          <w:sz w:val="22"/>
          <w:szCs w:val="22"/>
        </w:rPr>
        <w:t xml:space="preserve"> Böylece 12 aylık cari açık toplamı 2 milyar dolar </w:t>
      </w:r>
      <w:r w:rsidR="007168FE">
        <w:rPr>
          <w:sz w:val="22"/>
          <w:szCs w:val="22"/>
        </w:rPr>
        <w:t>daha azaldı. Azalmanın en önem</w:t>
      </w:r>
      <w:r w:rsidR="00734E7B">
        <w:rPr>
          <w:sz w:val="22"/>
          <w:szCs w:val="22"/>
        </w:rPr>
        <w:t>li nedeni</w:t>
      </w:r>
      <w:r w:rsidR="00896E09">
        <w:rPr>
          <w:sz w:val="22"/>
          <w:szCs w:val="22"/>
        </w:rPr>
        <w:t xml:space="preserve"> ithalat</w:t>
      </w:r>
      <w:r w:rsidR="007168FE">
        <w:rPr>
          <w:sz w:val="22"/>
          <w:szCs w:val="22"/>
        </w:rPr>
        <w:t xml:space="preserve"> azal</w:t>
      </w:r>
      <w:r w:rsidR="00896E09">
        <w:rPr>
          <w:sz w:val="22"/>
          <w:szCs w:val="22"/>
        </w:rPr>
        <w:t xml:space="preserve">ırken </w:t>
      </w:r>
      <w:r w:rsidR="007168FE">
        <w:rPr>
          <w:sz w:val="22"/>
          <w:szCs w:val="22"/>
        </w:rPr>
        <w:t>ihracat</w:t>
      </w:r>
      <w:r w:rsidR="00896E09">
        <w:rPr>
          <w:sz w:val="22"/>
          <w:szCs w:val="22"/>
        </w:rPr>
        <w:t>ın</w:t>
      </w:r>
      <w:r w:rsidR="007168FE">
        <w:rPr>
          <w:sz w:val="22"/>
          <w:szCs w:val="22"/>
        </w:rPr>
        <w:t xml:space="preserve"> art</w:t>
      </w:r>
      <w:r w:rsidR="00896E09">
        <w:rPr>
          <w:sz w:val="22"/>
          <w:szCs w:val="22"/>
        </w:rPr>
        <w:t>m</w:t>
      </w:r>
      <w:r w:rsidR="009F5D65">
        <w:rPr>
          <w:sz w:val="22"/>
          <w:szCs w:val="22"/>
        </w:rPr>
        <w:t>ası oldu</w:t>
      </w:r>
      <w:r w:rsidR="007168FE">
        <w:rPr>
          <w:sz w:val="22"/>
          <w:szCs w:val="22"/>
        </w:rPr>
        <w:t>.</w:t>
      </w:r>
      <w:r w:rsidR="00331277">
        <w:rPr>
          <w:sz w:val="22"/>
          <w:szCs w:val="22"/>
        </w:rPr>
        <w:t xml:space="preserve"> Yaz aylarında cari açıkta düşüşün devam etmesini bekliyoruz. İkinci çeyrekte i</w:t>
      </w:r>
      <w:r w:rsidR="00012977">
        <w:rPr>
          <w:sz w:val="22"/>
          <w:szCs w:val="22"/>
        </w:rPr>
        <w:t>ç talepte</w:t>
      </w:r>
      <w:r w:rsidR="00200B14">
        <w:rPr>
          <w:sz w:val="22"/>
          <w:szCs w:val="22"/>
        </w:rPr>
        <w:t>ki</w:t>
      </w:r>
      <w:r w:rsidR="00012977">
        <w:rPr>
          <w:sz w:val="22"/>
          <w:szCs w:val="22"/>
        </w:rPr>
        <w:t xml:space="preserve"> canlanma ve ithalatın Mayıs ayında artmasıyla ikinci çeyrek sonu cari </w:t>
      </w:r>
      <w:r w:rsidR="00331277">
        <w:rPr>
          <w:sz w:val="22"/>
          <w:szCs w:val="22"/>
        </w:rPr>
        <w:t xml:space="preserve">açığın GSYH’a oranı tahminimizi ise </w:t>
      </w:r>
      <w:r w:rsidR="00012977">
        <w:rPr>
          <w:sz w:val="22"/>
          <w:szCs w:val="22"/>
        </w:rPr>
        <w:t>yüz</w:t>
      </w:r>
      <w:r w:rsidR="00734E7B">
        <w:rPr>
          <w:sz w:val="22"/>
          <w:szCs w:val="22"/>
        </w:rPr>
        <w:t>de 8,3’ten</w:t>
      </w:r>
      <w:r w:rsidR="00331277">
        <w:rPr>
          <w:sz w:val="22"/>
          <w:szCs w:val="22"/>
        </w:rPr>
        <w:t xml:space="preserve"> yüzde</w:t>
      </w:r>
      <w:r w:rsidR="00734E7B">
        <w:rPr>
          <w:sz w:val="22"/>
          <w:szCs w:val="22"/>
        </w:rPr>
        <w:t xml:space="preserve"> 8,5’e </w:t>
      </w:r>
      <w:r w:rsidR="00331277">
        <w:rPr>
          <w:sz w:val="22"/>
          <w:szCs w:val="22"/>
        </w:rPr>
        <w:t>yükseltiyoruz</w:t>
      </w:r>
      <w:r w:rsidR="00734E7B">
        <w:rPr>
          <w:sz w:val="22"/>
          <w:szCs w:val="22"/>
        </w:rPr>
        <w:t>.</w:t>
      </w:r>
    </w:p>
    <w:p w:rsidR="001E5423" w:rsidRDefault="001E5423" w:rsidP="00734E7B">
      <w:pPr>
        <w:spacing w:line="360" w:lineRule="auto"/>
        <w:ind w:left="-360" w:right="42"/>
        <w:jc w:val="both"/>
        <w:rPr>
          <w:sz w:val="22"/>
          <w:szCs w:val="22"/>
        </w:rPr>
      </w:pPr>
      <w:r>
        <w:rPr>
          <w:sz w:val="22"/>
          <w:szCs w:val="22"/>
        </w:rPr>
        <w:br w:type="column"/>
      </w:r>
    </w:p>
    <w:p w:rsidR="00C2241D" w:rsidRDefault="00DD0701" w:rsidP="00734E7B">
      <w:pPr>
        <w:spacing w:line="360" w:lineRule="auto"/>
        <w:ind w:left="-360" w:right="42"/>
        <w:jc w:val="both"/>
        <w:rPr>
          <w:sz w:val="22"/>
          <w:szCs w:val="22"/>
        </w:rPr>
        <w:sectPr w:rsidR="00C2241D" w:rsidSect="00734E7B">
          <w:type w:val="continuous"/>
          <w:pgSz w:w="11906" w:h="16838"/>
          <w:pgMar w:top="1417" w:right="1417" w:bottom="1417" w:left="1417" w:header="708" w:footer="708" w:gutter="0"/>
          <w:cols w:num="2" w:space="708"/>
          <w:docGrid w:linePitch="360"/>
        </w:sectPr>
      </w:pPr>
      <w:r>
        <w:rPr>
          <w:sz w:val="22"/>
          <w:szCs w:val="22"/>
        </w:rPr>
        <w:t xml:space="preserve"> </w:t>
      </w:r>
    </w:p>
    <w:p w:rsidR="00FA103F" w:rsidRDefault="00FA103F" w:rsidP="008A0F64">
      <w:pPr>
        <w:spacing w:line="360" w:lineRule="auto"/>
        <w:ind w:right="42"/>
        <w:jc w:val="both"/>
        <w:rPr>
          <w:b/>
          <w:sz w:val="22"/>
          <w:szCs w:val="22"/>
        </w:rPr>
      </w:pPr>
    </w:p>
    <w:p w:rsidR="00734E7B" w:rsidRDefault="00734E7B">
      <w:pPr>
        <w:rPr>
          <w:b/>
          <w:sz w:val="22"/>
          <w:szCs w:val="22"/>
        </w:rPr>
      </w:pPr>
      <w:r>
        <w:rPr>
          <w:b/>
          <w:sz w:val="22"/>
          <w:szCs w:val="22"/>
        </w:rPr>
        <w:br w:type="page"/>
      </w:r>
    </w:p>
    <w:p w:rsidR="0072768C" w:rsidRPr="00523C58" w:rsidRDefault="00003E7E" w:rsidP="008A0F64">
      <w:pPr>
        <w:spacing w:line="360" w:lineRule="auto"/>
        <w:ind w:right="42"/>
        <w:jc w:val="both"/>
        <w:rPr>
          <w:sz w:val="22"/>
          <w:szCs w:val="22"/>
        </w:rPr>
      </w:pPr>
      <w:r>
        <w:rPr>
          <w:b/>
          <w:sz w:val="22"/>
          <w:szCs w:val="22"/>
        </w:rPr>
        <w:lastRenderedPageBreak/>
        <w:t>T</w:t>
      </w:r>
      <w:r w:rsidR="0072768C" w:rsidRPr="008C6E50">
        <w:rPr>
          <w:b/>
          <w:sz w:val="22"/>
          <w:szCs w:val="22"/>
        </w:rPr>
        <w:t>ablo</w:t>
      </w:r>
      <w:r w:rsidR="0072768C">
        <w:rPr>
          <w:b/>
          <w:sz w:val="22"/>
          <w:szCs w:val="22"/>
        </w:rPr>
        <w:t xml:space="preserve"> 2</w:t>
      </w:r>
      <w:r w:rsidR="0072768C" w:rsidRPr="008C6E50">
        <w:rPr>
          <w:b/>
          <w:sz w:val="22"/>
          <w:szCs w:val="22"/>
        </w:rPr>
        <w:t>. Ekonomik göstergelerin aydan aya ve çeyrekten çeyreğe değişimleri (Reel ve MEA)</w:t>
      </w:r>
    </w:p>
    <w:p w:rsidR="0072768C" w:rsidRDefault="0072768C" w:rsidP="0072768C">
      <w:pPr>
        <w:spacing w:line="360" w:lineRule="auto"/>
        <w:ind w:left="-360" w:right="42"/>
        <w:jc w:val="both"/>
        <w:rPr>
          <w:sz w:val="22"/>
          <w:szCs w:val="22"/>
        </w:rPr>
        <w:sectPr w:rsidR="0072768C" w:rsidSect="008651A8">
          <w:type w:val="continuous"/>
          <w:pgSz w:w="11906" w:h="16838"/>
          <w:pgMar w:top="1417" w:right="1417" w:bottom="1417" w:left="1417" w:header="708" w:footer="708" w:gutter="0"/>
          <w:cols w:space="708"/>
          <w:docGrid w:linePitch="360"/>
        </w:sectPr>
      </w:pPr>
    </w:p>
    <w:tbl>
      <w:tblPr>
        <w:tblW w:w="10109"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0" w:type="dxa"/>
        </w:tblCellMar>
        <w:tblLook w:val="01E0"/>
      </w:tblPr>
      <w:tblGrid>
        <w:gridCol w:w="3245"/>
        <w:gridCol w:w="977"/>
        <w:gridCol w:w="978"/>
        <w:gridCol w:w="978"/>
        <w:gridCol w:w="978"/>
        <w:gridCol w:w="978"/>
        <w:gridCol w:w="987"/>
        <w:gridCol w:w="988"/>
      </w:tblGrid>
      <w:tr w:rsidR="002F0024" w:rsidRPr="00A759A9">
        <w:tc>
          <w:tcPr>
            <w:tcW w:w="3245" w:type="dxa"/>
            <w:tcBorders>
              <w:bottom w:val="single" w:sz="4" w:space="0" w:color="auto"/>
            </w:tcBorders>
            <w:vAlign w:val="bottom"/>
          </w:tcPr>
          <w:p w:rsidR="002F0024" w:rsidRPr="00A759A9" w:rsidRDefault="002F0024" w:rsidP="006B423D">
            <w:pPr>
              <w:spacing w:line="288" w:lineRule="auto"/>
              <w:ind w:right="77"/>
              <w:jc w:val="center"/>
              <w:rPr>
                <w:sz w:val="22"/>
                <w:szCs w:val="22"/>
              </w:rPr>
            </w:pPr>
            <w:r w:rsidRPr="00A759A9">
              <w:rPr>
                <w:b/>
                <w:sz w:val="22"/>
                <w:szCs w:val="22"/>
              </w:rPr>
              <w:lastRenderedPageBreak/>
              <w:t>Ekonomik Göstergeler</w:t>
            </w:r>
          </w:p>
        </w:tc>
        <w:tc>
          <w:tcPr>
            <w:tcW w:w="977" w:type="dxa"/>
            <w:tcBorders>
              <w:bottom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Şubat</w:t>
            </w:r>
          </w:p>
        </w:tc>
        <w:tc>
          <w:tcPr>
            <w:tcW w:w="978" w:type="dxa"/>
            <w:tcBorders>
              <w:bottom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Mart</w:t>
            </w:r>
          </w:p>
        </w:tc>
        <w:tc>
          <w:tcPr>
            <w:tcW w:w="978" w:type="dxa"/>
            <w:tcBorders>
              <w:bottom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 xml:space="preserve">Nisan </w:t>
            </w:r>
          </w:p>
        </w:tc>
        <w:tc>
          <w:tcPr>
            <w:tcW w:w="978" w:type="dxa"/>
            <w:tcBorders>
              <w:bottom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Mayıs</w:t>
            </w:r>
          </w:p>
        </w:tc>
        <w:tc>
          <w:tcPr>
            <w:tcW w:w="978" w:type="dxa"/>
            <w:tcBorders>
              <w:bottom w:val="single" w:sz="4" w:space="0" w:color="auto"/>
              <w:right w:val="doub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Haziran</w:t>
            </w:r>
          </w:p>
        </w:tc>
        <w:tc>
          <w:tcPr>
            <w:tcW w:w="987" w:type="dxa"/>
            <w:tcBorders>
              <w:left w:val="double" w:sz="4" w:space="0" w:color="auto"/>
              <w:bottom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2011 1</w:t>
            </w:r>
            <w:r w:rsidRPr="00A759A9">
              <w:rPr>
                <w:b/>
                <w:sz w:val="22"/>
                <w:szCs w:val="22"/>
              </w:rPr>
              <w:t>. Çeyrek</w:t>
            </w:r>
          </w:p>
        </w:tc>
        <w:tc>
          <w:tcPr>
            <w:tcW w:w="988" w:type="dxa"/>
            <w:tcBorders>
              <w:bottom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2011 2</w:t>
            </w:r>
            <w:r w:rsidRPr="00A759A9">
              <w:rPr>
                <w:b/>
                <w:sz w:val="22"/>
                <w:szCs w:val="22"/>
              </w:rPr>
              <w:t>. Çeyrek</w:t>
            </w:r>
          </w:p>
        </w:tc>
      </w:tr>
      <w:tr w:rsidR="002F0024" w:rsidRPr="00A759A9">
        <w:tc>
          <w:tcPr>
            <w:tcW w:w="3245" w:type="dxa"/>
            <w:tcBorders>
              <w:bottom w:val="nil"/>
              <w:right w:val="single" w:sz="4" w:space="0" w:color="auto"/>
            </w:tcBorders>
            <w:vAlign w:val="center"/>
          </w:tcPr>
          <w:p w:rsidR="002F0024" w:rsidRPr="00A759A9" w:rsidRDefault="002F0024" w:rsidP="006B423D">
            <w:pPr>
              <w:spacing w:line="288" w:lineRule="auto"/>
              <w:ind w:right="77"/>
              <w:jc w:val="center"/>
              <w:rPr>
                <w:b/>
                <w:sz w:val="22"/>
                <w:szCs w:val="22"/>
              </w:rPr>
            </w:pPr>
            <w:bookmarkStart w:id="0" w:name="_Hlk311108450"/>
            <w:r w:rsidRPr="00A759A9">
              <w:rPr>
                <w:b/>
                <w:sz w:val="22"/>
                <w:szCs w:val="22"/>
              </w:rPr>
              <w:t>İhracat</w:t>
            </w:r>
          </w:p>
        </w:tc>
        <w:tc>
          <w:tcPr>
            <w:tcW w:w="977"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5,3</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1,0</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7,7</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-0,6</w:t>
            </w:r>
          </w:p>
        </w:tc>
        <w:tc>
          <w:tcPr>
            <w:tcW w:w="978" w:type="dxa"/>
            <w:tcBorders>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b/>
                <w:sz w:val="22"/>
                <w:szCs w:val="22"/>
              </w:rPr>
            </w:pPr>
            <w:r>
              <w:rPr>
                <w:b/>
                <w:sz w:val="22"/>
                <w:szCs w:val="22"/>
              </w:rPr>
              <w:t>**</w:t>
            </w:r>
          </w:p>
        </w:tc>
        <w:tc>
          <w:tcPr>
            <w:tcW w:w="987" w:type="dxa"/>
            <w:tcBorders>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3,5</w:t>
            </w:r>
          </w:p>
        </w:tc>
        <w:tc>
          <w:tcPr>
            <w:tcW w:w="988" w:type="dxa"/>
            <w:tcBorders>
              <w:left w:val="single" w:sz="4" w:space="0" w:color="auto"/>
              <w:bottom w:val="nil"/>
            </w:tcBorders>
            <w:vAlign w:val="center"/>
          </w:tcPr>
          <w:p w:rsidR="002F0024" w:rsidRPr="00A759A9" w:rsidRDefault="002F0024" w:rsidP="006B423D">
            <w:pPr>
              <w:spacing w:line="288" w:lineRule="auto"/>
              <w:ind w:right="77"/>
              <w:jc w:val="center"/>
              <w:rPr>
                <w:b/>
                <w:sz w:val="22"/>
                <w:szCs w:val="22"/>
              </w:rPr>
            </w:pPr>
            <w:r>
              <w:rPr>
                <w:b/>
                <w:sz w:val="22"/>
                <w:szCs w:val="22"/>
              </w:rPr>
              <w:t>9,9</w:t>
            </w:r>
          </w:p>
        </w:tc>
      </w:tr>
      <w:tr w:rsidR="002F0024" w:rsidRPr="00A759A9">
        <w:tc>
          <w:tcPr>
            <w:tcW w:w="3245" w:type="dxa"/>
            <w:tcBorders>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sidRPr="00A759A9">
              <w:rPr>
                <w:b/>
                <w:sz w:val="22"/>
                <w:szCs w:val="22"/>
              </w:rPr>
              <w:t>İthalat</w:t>
            </w:r>
          </w:p>
        </w:tc>
        <w:tc>
          <w:tcPr>
            <w:tcW w:w="977"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0,0</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3,3</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-2,4</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6,3</w:t>
            </w:r>
          </w:p>
        </w:tc>
        <w:tc>
          <w:tcPr>
            <w:tcW w:w="978" w:type="dxa"/>
            <w:tcBorders>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b/>
                <w:sz w:val="22"/>
                <w:szCs w:val="22"/>
              </w:rPr>
            </w:pPr>
            <w:r>
              <w:rPr>
                <w:b/>
                <w:sz w:val="22"/>
                <w:szCs w:val="22"/>
              </w:rPr>
              <w:t>**</w:t>
            </w:r>
          </w:p>
        </w:tc>
        <w:tc>
          <w:tcPr>
            <w:tcW w:w="987" w:type="dxa"/>
            <w:tcBorders>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1,1</w:t>
            </w:r>
          </w:p>
        </w:tc>
        <w:tc>
          <w:tcPr>
            <w:tcW w:w="988" w:type="dxa"/>
            <w:tcBorders>
              <w:left w:val="single" w:sz="4" w:space="0" w:color="auto"/>
              <w:bottom w:val="nil"/>
            </w:tcBorders>
            <w:vAlign w:val="center"/>
          </w:tcPr>
          <w:p w:rsidR="002F0024" w:rsidRPr="00A759A9" w:rsidRDefault="002F0024" w:rsidP="006B423D">
            <w:pPr>
              <w:spacing w:line="288" w:lineRule="auto"/>
              <w:ind w:right="77"/>
              <w:jc w:val="center"/>
              <w:rPr>
                <w:b/>
                <w:sz w:val="22"/>
                <w:szCs w:val="22"/>
              </w:rPr>
            </w:pPr>
            <w:r>
              <w:rPr>
                <w:b/>
                <w:sz w:val="22"/>
                <w:szCs w:val="22"/>
              </w:rPr>
              <w:t>2,8</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Ara malı ithalatı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-1,5</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0,5</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0,1</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9,7</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1,4</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4,7</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Tüketim malı ithalatı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-1,7</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1,3</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-5,9</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18,1</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-5,1</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2,9</w:t>
            </w:r>
          </w:p>
        </w:tc>
      </w:tr>
      <w:tr w:rsidR="002F0024" w:rsidRPr="00A759A9">
        <w:tc>
          <w:tcPr>
            <w:tcW w:w="3245" w:type="dxa"/>
            <w:tcBorders>
              <w:top w:val="nil"/>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Yatırım malı ithalatı</w:t>
            </w:r>
          </w:p>
        </w:tc>
        <w:tc>
          <w:tcPr>
            <w:tcW w:w="977"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-0,6</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9,8</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-11,7</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10,6</w:t>
            </w:r>
          </w:p>
        </w:tc>
        <w:tc>
          <w:tcPr>
            <w:tcW w:w="978" w:type="dxa"/>
            <w:tcBorders>
              <w:top w:val="nil"/>
              <w:left w:val="single" w:sz="4" w:space="0" w:color="auto"/>
              <w:bottom w:val="single" w:sz="4" w:space="0" w:color="auto"/>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7,3</w:t>
            </w:r>
          </w:p>
        </w:tc>
        <w:tc>
          <w:tcPr>
            <w:tcW w:w="988" w:type="dxa"/>
            <w:tcBorders>
              <w:top w:val="nil"/>
              <w:left w:val="single" w:sz="4" w:space="0" w:color="auto"/>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-1,3</w:t>
            </w:r>
          </w:p>
        </w:tc>
      </w:tr>
      <w:tr w:rsidR="002F0024" w:rsidRPr="00A759A9">
        <w:tc>
          <w:tcPr>
            <w:tcW w:w="3245" w:type="dxa"/>
            <w:tcBorders>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sidRPr="00A759A9">
              <w:rPr>
                <w:b/>
                <w:sz w:val="22"/>
                <w:szCs w:val="22"/>
              </w:rPr>
              <w:t>Sanayi Üretim Endeksi (SÜE)</w:t>
            </w:r>
          </w:p>
        </w:tc>
        <w:tc>
          <w:tcPr>
            <w:tcW w:w="977"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0,7</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0,9</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0,9</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1,1</w:t>
            </w:r>
          </w:p>
        </w:tc>
        <w:tc>
          <w:tcPr>
            <w:tcW w:w="978" w:type="dxa"/>
            <w:tcBorders>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b/>
                <w:sz w:val="22"/>
                <w:szCs w:val="22"/>
              </w:rPr>
            </w:pPr>
            <w:r>
              <w:rPr>
                <w:b/>
                <w:sz w:val="22"/>
                <w:szCs w:val="22"/>
              </w:rPr>
              <w:t>**</w:t>
            </w:r>
          </w:p>
        </w:tc>
        <w:tc>
          <w:tcPr>
            <w:tcW w:w="987" w:type="dxa"/>
            <w:tcBorders>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-1,3</w:t>
            </w:r>
          </w:p>
        </w:tc>
        <w:tc>
          <w:tcPr>
            <w:tcW w:w="988" w:type="dxa"/>
            <w:tcBorders>
              <w:left w:val="single" w:sz="4" w:space="0" w:color="auto"/>
              <w:bottom w:val="nil"/>
            </w:tcBorders>
            <w:vAlign w:val="center"/>
          </w:tcPr>
          <w:p w:rsidR="002F0024" w:rsidRPr="00A759A9" w:rsidRDefault="002F0024" w:rsidP="006B423D">
            <w:pPr>
              <w:spacing w:line="288" w:lineRule="auto"/>
              <w:ind w:right="77"/>
              <w:jc w:val="center"/>
              <w:rPr>
                <w:b/>
                <w:sz w:val="22"/>
                <w:szCs w:val="22"/>
              </w:rPr>
            </w:pPr>
            <w:r>
              <w:rPr>
                <w:b/>
                <w:sz w:val="22"/>
                <w:szCs w:val="22"/>
              </w:rPr>
              <w:t>2,2</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Dayanıksız tüketim malı imalatı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-1,1</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2,4</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0,4</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4,4</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0,0</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3,8</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Dayanıklı tüketim malı imalatı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2,2</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-0,8</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1,0</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1,9</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-2,9</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2,2</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Ara malı imalatı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-0,2</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-0,1</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1,9</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1,3</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0,2</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2,4</w:t>
            </w:r>
          </w:p>
        </w:tc>
      </w:tr>
      <w:tr w:rsidR="002F0024" w:rsidRPr="00A759A9">
        <w:tc>
          <w:tcPr>
            <w:tcW w:w="3245" w:type="dxa"/>
            <w:tcBorders>
              <w:top w:val="nil"/>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Yatırım malı imalatı</w:t>
            </w:r>
          </w:p>
        </w:tc>
        <w:tc>
          <w:tcPr>
            <w:tcW w:w="977"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0,5</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-3,2</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2,6</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4,5</w:t>
            </w:r>
          </w:p>
        </w:tc>
        <w:tc>
          <w:tcPr>
            <w:tcW w:w="978" w:type="dxa"/>
            <w:tcBorders>
              <w:top w:val="nil"/>
              <w:left w:val="single" w:sz="4" w:space="0" w:color="auto"/>
              <w:bottom w:val="single" w:sz="4" w:space="0" w:color="auto"/>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-4,5</w:t>
            </w:r>
          </w:p>
        </w:tc>
        <w:tc>
          <w:tcPr>
            <w:tcW w:w="988" w:type="dxa"/>
            <w:tcBorders>
              <w:top w:val="nil"/>
              <w:left w:val="single" w:sz="4" w:space="0" w:color="auto"/>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2,8</w:t>
            </w:r>
          </w:p>
        </w:tc>
      </w:tr>
      <w:tr w:rsidR="002F0024" w:rsidRPr="00A759A9">
        <w:tc>
          <w:tcPr>
            <w:tcW w:w="3245" w:type="dxa"/>
            <w:tcBorders>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sidRPr="00A759A9">
              <w:rPr>
                <w:b/>
                <w:sz w:val="22"/>
                <w:szCs w:val="22"/>
              </w:rPr>
              <w:t>Kapasite Kullanım Oranı (KKO)</w:t>
            </w:r>
          </w:p>
        </w:tc>
        <w:tc>
          <w:tcPr>
            <w:tcW w:w="977"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-1,0</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0,2</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-0,4</w:t>
            </w:r>
          </w:p>
        </w:tc>
        <w:tc>
          <w:tcPr>
            <w:tcW w:w="978" w:type="dxa"/>
            <w:tcBorders>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-1,1</w:t>
            </w:r>
          </w:p>
        </w:tc>
        <w:tc>
          <w:tcPr>
            <w:tcW w:w="978" w:type="dxa"/>
            <w:tcBorders>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b/>
                <w:sz w:val="22"/>
                <w:szCs w:val="22"/>
              </w:rPr>
            </w:pPr>
            <w:r>
              <w:rPr>
                <w:b/>
                <w:sz w:val="22"/>
                <w:szCs w:val="22"/>
              </w:rPr>
              <w:t>-1,4</w:t>
            </w:r>
          </w:p>
        </w:tc>
        <w:tc>
          <w:tcPr>
            <w:tcW w:w="987" w:type="dxa"/>
            <w:tcBorders>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Pr>
                <w:b/>
                <w:sz w:val="22"/>
                <w:szCs w:val="22"/>
              </w:rPr>
              <w:t>0,3</w:t>
            </w:r>
          </w:p>
        </w:tc>
        <w:tc>
          <w:tcPr>
            <w:tcW w:w="988" w:type="dxa"/>
            <w:tcBorders>
              <w:left w:val="single" w:sz="4" w:space="0" w:color="auto"/>
              <w:bottom w:val="nil"/>
            </w:tcBorders>
            <w:vAlign w:val="center"/>
          </w:tcPr>
          <w:p w:rsidR="002F0024" w:rsidRPr="00A759A9" w:rsidRDefault="002F0024" w:rsidP="006B423D">
            <w:pPr>
              <w:spacing w:line="288" w:lineRule="auto"/>
              <w:ind w:right="77"/>
              <w:jc w:val="center"/>
              <w:rPr>
                <w:b/>
                <w:sz w:val="22"/>
                <w:szCs w:val="22"/>
              </w:rPr>
            </w:pPr>
            <w:r>
              <w:rPr>
                <w:b/>
                <w:sz w:val="22"/>
                <w:szCs w:val="22"/>
              </w:rPr>
              <w:t>-1,9</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Dayanıksız tüketim malı imalatı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-0,8</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0,4</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0,3</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-0,3</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-0,1</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0,8</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0,1</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Dayanıklı tüketim malı imalatı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1,5</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0,6</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0,3</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-2,3</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-0,9</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0,4</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-0,6</w:t>
            </w: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Ara malı imalatı</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-0,8</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-1,5</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0,0</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-0,3</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-0,6</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-1,2</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-1,6</w:t>
            </w:r>
          </w:p>
        </w:tc>
      </w:tr>
      <w:tr w:rsidR="002F0024" w:rsidRPr="00A759A9">
        <w:tc>
          <w:tcPr>
            <w:tcW w:w="3245" w:type="dxa"/>
            <w:tcBorders>
              <w:top w:val="nil"/>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Yatırım malı imalatı</w:t>
            </w:r>
          </w:p>
        </w:tc>
        <w:tc>
          <w:tcPr>
            <w:tcW w:w="977"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-1,9</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0,8</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0,0</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-1,5</w:t>
            </w:r>
          </w:p>
        </w:tc>
        <w:tc>
          <w:tcPr>
            <w:tcW w:w="978" w:type="dxa"/>
            <w:tcBorders>
              <w:top w:val="nil"/>
              <w:left w:val="single" w:sz="4" w:space="0" w:color="auto"/>
              <w:bottom w:val="single" w:sz="4" w:space="0" w:color="auto"/>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-2,8</w:t>
            </w:r>
          </w:p>
        </w:tc>
        <w:tc>
          <w:tcPr>
            <w:tcW w:w="987" w:type="dxa"/>
            <w:tcBorders>
              <w:top w:val="nil"/>
              <w:left w:val="doub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-0,7</w:t>
            </w:r>
          </w:p>
        </w:tc>
        <w:tc>
          <w:tcPr>
            <w:tcW w:w="988" w:type="dxa"/>
            <w:tcBorders>
              <w:top w:val="nil"/>
              <w:left w:val="single" w:sz="4" w:space="0" w:color="auto"/>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-2,0</w:t>
            </w:r>
          </w:p>
        </w:tc>
      </w:tr>
      <w:tr w:rsidR="002F0024" w:rsidRPr="00A759A9">
        <w:tc>
          <w:tcPr>
            <w:tcW w:w="3245" w:type="dxa"/>
            <w:tcBorders>
              <w:bottom w:val="nil"/>
              <w:right w:val="single" w:sz="4" w:space="0" w:color="auto"/>
            </w:tcBorders>
            <w:vAlign w:val="center"/>
          </w:tcPr>
          <w:p w:rsidR="002F0024" w:rsidRPr="00B25C94" w:rsidRDefault="002F0024" w:rsidP="006B423D">
            <w:pPr>
              <w:spacing w:line="288" w:lineRule="auto"/>
              <w:ind w:right="77"/>
              <w:jc w:val="center"/>
              <w:rPr>
                <w:b/>
                <w:sz w:val="22"/>
                <w:szCs w:val="22"/>
              </w:rPr>
            </w:pPr>
            <w:r w:rsidRPr="00B25C94">
              <w:rPr>
                <w:b/>
                <w:sz w:val="22"/>
                <w:szCs w:val="22"/>
              </w:rPr>
              <w:t>İmalat Sipariş Endeksi</w:t>
            </w:r>
          </w:p>
        </w:tc>
        <w:tc>
          <w:tcPr>
            <w:tcW w:w="977" w:type="dxa"/>
            <w:tcBorders>
              <w:left w:val="single" w:sz="4" w:space="0" w:color="auto"/>
              <w:bottom w:val="nil"/>
              <w:right w:val="single" w:sz="4" w:space="0" w:color="auto"/>
            </w:tcBorders>
            <w:vAlign w:val="center"/>
          </w:tcPr>
          <w:p w:rsidR="002F0024" w:rsidRPr="00B25C94" w:rsidRDefault="002F0024" w:rsidP="006B423D">
            <w:pPr>
              <w:spacing w:line="288" w:lineRule="auto"/>
              <w:ind w:right="77"/>
              <w:jc w:val="center"/>
              <w:rPr>
                <w:b/>
                <w:sz w:val="22"/>
                <w:szCs w:val="22"/>
              </w:rPr>
            </w:pPr>
            <w:r>
              <w:rPr>
                <w:b/>
                <w:sz w:val="22"/>
                <w:szCs w:val="22"/>
              </w:rPr>
              <w:t>1,4</w:t>
            </w:r>
          </w:p>
        </w:tc>
        <w:tc>
          <w:tcPr>
            <w:tcW w:w="978" w:type="dxa"/>
            <w:tcBorders>
              <w:left w:val="single" w:sz="4" w:space="0" w:color="auto"/>
              <w:bottom w:val="nil"/>
              <w:right w:val="single" w:sz="4" w:space="0" w:color="auto"/>
            </w:tcBorders>
            <w:vAlign w:val="center"/>
          </w:tcPr>
          <w:p w:rsidR="002F0024" w:rsidRPr="00B25C94" w:rsidRDefault="002F0024" w:rsidP="006B423D">
            <w:pPr>
              <w:spacing w:line="288" w:lineRule="auto"/>
              <w:ind w:right="77"/>
              <w:jc w:val="center"/>
              <w:rPr>
                <w:b/>
                <w:sz w:val="22"/>
                <w:szCs w:val="22"/>
              </w:rPr>
            </w:pPr>
            <w:r>
              <w:rPr>
                <w:b/>
                <w:sz w:val="22"/>
                <w:szCs w:val="22"/>
              </w:rPr>
              <w:t>1,5</w:t>
            </w:r>
          </w:p>
        </w:tc>
        <w:tc>
          <w:tcPr>
            <w:tcW w:w="978" w:type="dxa"/>
            <w:tcBorders>
              <w:left w:val="single" w:sz="4" w:space="0" w:color="auto"/>
              <w:bottom w:val="nil"/>
              <w:right w:val="single" w:sz="4" w:space="0" w:color="auto"/>
            </w:tcBorders>
            <w:vAlign w:val="center"/>
          </w:tcPr>
          <w:p w:rsidR="002F0024" w:rsidRPr="00B25C94" w:rsidRDefault="002F0024" w:rsidP="006B423D">
            <w:pPr>
              <w:spacing w:line="288" w:lineRule="auto"/>
              <w:ind w:right="77"/>
              <w:jc w:val="center"/>
              <w:rPr>
                <w:b/>
                <w:sz w:val="22"/>
                <w:szCs w:val="22"/>
              </w:rPr>
            </w:pPr>
            <w:r>
              <w:rPr>
                <w:b/>
                <w:sz w:val="22"/>
                <w:szCs w:val="22"/>
              </w:rPr>
              <w:t>-0,2</w:t>
            </w:r>
          </w:p>
        </w:tc>
        <w:tc>
          <w:tcPr>
            <w:tcW w:w="978" w:type="dxa"/>
            <w:tcBorders>
              <w:left w:val="single" w:sz="4" w:space="0" w:color="auto"/>
              <w:bottom w:val="nil"/>
              <w:right w:val="single" w:sz="4" w:space="0" w:color="auto"/>
            </w:tcBorders>
            <w:vAlign w:val="center"/>
          </w:tcPr>
          <w:p w:rsidR="002F0024" w:rsidRPr="00B25C94" w:rsidRDefault="002F0024" w:rsidP="006B423D">
            <w:pPr>
              <w:spacing w:line="288" w:lineRule="auto"/>
              <w:ind w:right="77"/>
              <w:jc w:val="center"/>
              <w:rPr>
                <w:b/>
                <w:sz w:val="22"/>
                <w:szCs w:val="22"/>
              </w:rPr>
            </w:pPr>
            <w:r>
              <w:rPr>
                <w:b/>
                <w:sz w:val="22"/>
                <w:szCs w:val="22"/>
              </w:rPr>
              <w:t>**</w:t>
            </w:r>
          </w:p>
        </w:tc>
        <w:tc>
          <w:tcPr>
            <w:tcW w:w="978" w:type="dxa"/>
            <w:tcBorders>
              <w:left w:val="single" w:sz="4" w:space="0" w:color="auto"/>
              <w:bottom w:val="nil"/>
              <w:right w:val="double" w:sz="4" w:space="0" w:color="auto"/>
            </w:tcBorders>
            <w:tcMar>
              <w:left w:w="57" w:type="dxa"/>
              <w:right w:w="170" w:type="dxa"/>
            </w:tcMar>
            <w:vAlign w:val="center"/>
          </w:tcPr>
          <w:p w:rsidR="002F0024" w:rsidRPr="00B25C94" w:rsidRDefault="002F0024" w:rsidP="006B423D">
            <w:pPr>
              <w:spacing w:line="288" w:lineRule="auto"/>
              <w:ind w:right="77"/>
              <w:jc w:val="center"/>
              <w:rPr>
                <w:b/>
                <w:sz w:val="22"/>
                <w:szCs w:val="22"/>
              </w:rPr>
            </w:pPr>
            <w:r>
              <w:rPr>
                <w:b/>
                <w:sz w:val="22"/>
                <w:szCs w:val="22"/>
              </w:rPr>
              <w:t>**</w:t>
            </w:r>
          </w:p>
        </w:tc>
        <w:tc>
          <w:tcPr>
            <w:tcW w:w="987" w:type="dxa"/>
            <w:tcBorders>
              <w:left w:val="double" w:sz="4" w:space="0" w:color="auto"/>
              <w:bottom w:val="nil"/>
              <w:right w:val="single" w:sz="4" w:space="0" w:color="auto"/>
            </w:tcBorders>
            <w:vAlign w:val="center"/>
          </w:tcPr>
          <w:p w:rsidR="002F0024" w:rsidRPr="00B25C94" w:rsidRDefault="002F0024" w:rsidP="006B423D">
            <w:pPr>
              <w:spacing w:line="288" w:lineRule="auto"/>
              <w:ind w:right="77"/>
              <w:jc w:val="center"/>
              <w:rPr>
                <w:b/>
                <w:sz w:val="22"/>
                <w:szCs w:val="22"/>
              </w:rPr>
            </w:pPr>
            <w:r>
              <w:rPr>
                <w:b/>
                <w:sz w:val="22"/>
                <w:szCs w:val="22"/>
              </w:rPr>
              <w:t>2,3</w:t>
            </w:r>
          </w:p>
        </w:tc>
        <w:tc>
          <w:tcPr>
            <w:tcW w:w="988" w:type="dxa"/>
            <w:tcBorders>
              <w:left w:val="single" w:sz="4" w:space="0" w:color="auto"/>
              <w:bottom w:val="nil"/>
            </w:tcBorders>
            <w:vAlign w:val="center"/>
          </w:tcPr>
          <w:p w:rsidR="002F0024" w:rsidRPr="00B25C94" w:rsidRDefault="002F0024" w:rsidP="006B423D">
            <w:pPr>
              <w:spacing w:line="288" w:lineRule="auto"/>
              <w:ind w:right="77"/>
              <w:jc w:val="center"/>
              <w:rPr>
                <w:b/>
                <w:sz w:val="22"/>
                <w:szCs w:val="22"/>
              </w:rPr>
            </w:pPr>
            <w:r>
              <w:rPr>
                <w:b/>
                <w:sz w:val="22"/>
                <w:szCs w:val="22"/>
              </w:rPr>
              <w:t>1,3</w:t>
            </w:r>
          </w:p>
        </w:tc>
      </w:tr>
      <w:tr w:rsidR="002F0024" w:rsidRPr="00A759A9">
        <w:tc>
          <w:tcPr>
            <w:tcW w:w="3245" w:type="dxa"/>
            <w:tcBorders>
              <w:top w:val="nil"/>
              <w:bottom w:val="nil"/>
              <w:right w:val="single" w:sz="4" w:space="0" w:color="auto"/>
            </w:tcBorders>
            <w:vAlign w:val="center"/>
          </w:tcPr>
          <w:p w:rsidR="002F0024" w:rsidRPr="00B03004" w:rsidRDefault="002F0024" w:rsidP="006B423D">
            <w:pPr>
              <w:spacing w:line="288" w:lineRule="auto"/>
              <w:ind w:right="77"/>
              <w:jc w:val="center"/>
              <w:rPr>
                <w:sz w:val="22"/>
                <w:szCs w:val="22"/>
              </w:rPr>
            </w:pPr>
            <w:r w:rsidRPr="00B03004">
              <w:rPr>
                <w:sz w:val="22"/>
                <w:szCs w:val="22"/>
              </w:rPr>
              <w:t>Yu</w:t>
            </w:r>
            <w:r>
              <w:rPr>
                <w:sz w:val="22"/>
                <w:szCs w:val="22"/>
              </w:rPr>
              <w:t>rtiçi İmalat Sipariş</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1,6</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1,7</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0,8</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2,2</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2,5</w:t>
            </w:r>
          </w:p>
        </w:tc>
      </w:tr>
      <w:tr w:rsidR="002F0024" w:rsidRPr="00A759A9">
        <w:tc>
          <w:tcPr>
            <w:tcW w:w="3245" w:type="dxa"/>
            <w:tcBorders>
              <w:top w:val="nil"/>
              <w:bottom w:val="single" w:sz="4" w:space="0" w:color="auto"/>
              <w:right w:val="single" w:sz="4" w:space="0" w:color="auto"/>
            </w:tcBorders>
            <w:vAlign w:val="center"/>
          </w:tcPr>
          <w:p w:rsidR="002F0024" w:rsidRPr="00B03004" w:rsidRDefault="002F0024" w:rsidP="006B423D">
            <w:pPr>
              <w:spacing w:line="288" w:lineRule="auto"/>
              <w:ind w:right="77"/>
              <w:jc w:val="center"/>
              <w:rPr>
                <w:sz w:val="22"/>
                <w:szCs w:val="22"/>
              </w:rPr>
            </w:pPr>
            <w:r w:rsidRPr="00B03004">
              <w:rPr>
                <w:sz w:val="22"/>
                <w:szCs w:val="22"/>
              </w:rPr>
              <w:t>Yurtdışı</w:t>
            </w:r>
            <w:r>
              <w:rPr>
                <w:sz w:val="22"/>
                <w:szCs w:val="22"/>
              </w:rPr>
              <w:t xml:space="preserve"> İmalat</w:t>
            </w:r>
            <w:r w:rsidRPr="00B03004">
              <w:rPr>
                <w:sz w:val="22"/>
                <w:szCs w:val="22"/>
              </w:rPr>
              <w:t xml:space="preserve"> Sipariş</w:t>
            </w:r>
          </w:p>
        </w:tc>
        <w:tc>
          <w:tcPr>
            <w:tcW w:w="977"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1,9</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0,6</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-2,4</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w:t>
            </w:r>
          </w:p>
        </w:tc>
        <w:tc>
          <w:tcPr>
            <w:tcW w:w="978" w:type="dxa"/>
            <w:tcBorders>
              <w:top w:val="nil"/>
              <w:left w:val="single" w:sz="4" w:space="0" w:color="auto"/>
              <w:bottom w:val="single" w:sz="4" w:space="0" w:color="auto"/>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2,5</w:t>
            </w:r>
          </w:p>
        </w:tc>
        <w:tc>
          <w:tcPr>
            <w:tcW w:w="988" w:type="dxa"/>
            <w:tcBorders>
              <w:top w:val="nil"/>
              <w:left w:val="single" w:sz="4" w:space="0" w:color="auto"/>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-1,4</w:t>
            </w:r>
          </w:p>
        </w:tc>
      </w:tr>
      <w:tr w:rsidR="002F0024" w:rsidRPr="00A759A9">
        <w:tc>
          <w:tcPr>
            <w:tcW w:w="3245" w:type="dxa"/>
            <w:tcBorders>
              <w:top w:val="single" w:sz="4" w:space="0" w:color="auto"/>
              <w:bottom w:val="nil"/>
              <w:right w:val="single" w:sz="4" w:space="0" w:color="auto"/>
            </w:tcBorders>
            <w:vAlign w:val="center"/>
          </w:tcPr>
          <w:p w:rsidR="002F0024" w:rsidRPr="00A759A9" w:rsidRDefault="002F0024" w:rsidP="006B423D">
            <w:pPr>
              <w:spacing w:line="288" w:lineRule="auto"/>
              <w:ind w:right="77"/>
              <w:jc w:val="center"/>
              <w:rPr>
                <w:b/>
                <w:sz w:val="22"/>
                <w:szCs w:val="22"/>
              </w:rPr>
            </w:pPr>
            <w:r w:rsidRPr="00A759A9">
              <w:rPr>
                <w:b/>
                <w:sz w:val="22"/>
                <w:szCs w:val="22"/>
              </w:rPr>
              <w:t>Beklenti Göstergeleri</w:t>
            </w:r>
          </w:p>
        </w:tc>
        <w:tc>
          <w:tcPr>
            <w:tcW w:w="977" w:type="dxa"/>
            <w:tcBorders>
              <w:top w:val="single" w:sz="4" w:space="0" w:color="auto"/>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p>
        </w:tc>
        <w:tc>
          <w:tcPr>
            <w:tcW w:w="978" w:type="dxa"/>
            <w:tcBorders>
              <w:top w:val="single" w:sz="4" w:space="0" w:color="auto"/>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p>
        </w:tc>
        <w:tc>
          <w:tcPr>
            <w:tcW w:w="978" w:type="dxa"/>
            <w:tcBorders>
              <w:top w:val="single" w:sz="4" w:space="0" w:color="auto"/>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p>
        </w:tc>
        <w:tc>
          <w:tcPr>
            <w:tcW w:w="978" w:type="dxa"/>
            <w:tcBorders>
              <w:top w:val="single" w:sz="4" w:space="0" w:color="auto"/>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p>
        </w:tc>
        <w:tc>
          <w:tcPr>
            <w:tcW w:w="978" w:type="dxa"/>
            <w:tcBorders>
              <w:top w:val="single" w:sz="4" w:space="0" w:color="auto"/>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p>
        </w:tc>
        <w:tc>
          <w:tcPr>
            <w:tcW w:w="987" w:type="dxa"/>
            <w:tcBorders>
              <w:top w:val="single" w:sz="4" w:space="0" w:color="auto"/>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p>
        </w:tc>
        <w:tc>
          <w:tcPr>
            <w:tcW w:w="988" w:type="dxa"/>
            <w:tcBorders>
              <w:top w:val="single" w:sz="4" w:space="0" w:color="auto"/>
              <w:left w:val="single" w:sz="4" w:space="0" w:color="auto"/>
              <w:bottom w:val="nil"/>
            </w:tcBorders>
            <w:vAlign w:val="center"/>
          </w:tcPr>
          <w:p w:rsidR="002F0024" w:rsidRPr="00A759A9" w:rsidRDefault="002F0024" w:rsidP="006B423D">
            <w:pPr>
              <w:spacing w:line="288" w:lineRule="auto"/>
              <w:ind w:right="77"/>
              <w:jc w:val="center"/>
              <w:rPr>
                <w:sz w:val="22"/>
                <w:szCs w:val="22"/>
              </w:rPr>
            </w:pPr>
          </w:p>
        </w:tc>
      </w:tr>
      <w:tr w:rsidR="002F0024" w:rsidRPr="00A759A9">
        <w:tc>
          <w:tcPr>
            <w:tcW w:w="3245" w:type="dxa"/>
            <w:tcBorders>
              <w:top w:val="nil"/>
              <w:bottom w:val="nil"/>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Tüketici Güven E. (TUIK)</w:t>
            </w:r>
          </w:p>
        </w:tc>
        <w:tc>
          <w:tcPr>
            <w:tcW w:w="977"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0,5</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0,2</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-2,8</w:t>
            </w:r>
          </w:p>
        </w:tc>
        <w:tc>
          <w:tcPr>
            <w:tcW w:w="978" w:type="dxa"/>
            <w:tcBorders>
              <w:top w:val="nil"/>
              <w:left w:val="sing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0,9</w:t>
            </w:r>
          </w:p>
        </w:tc>
        <w:tc>
          <w:tcPr>
            <w:tcW w:w="978" w:type="dxa"/>
            <w:tcBorders>
              <w:top w:val="nil"/>
              <w:left w:val="single" w:sz="4" w:space="0" w:color="auto"/>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1,2</w:t>
            </w:r>
          </w:p>
        </w:tc>
        <w:tc>
          <w:tcPr>
            <w:tcW w:w="988" w:type="dxa"/>
            <w:tcBorders>
              <w:top w:val="nil"/>
              <w:left w:val="sing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-2,1</w:t>
            </w:r>
          </w:p>
        </w:tc>
      </w:tr>
      <w:tr w:rsidR="002F0024" w:rsidRPr="00A759A9">
        <w:tc>
          <w:tcPr>
            <w:tcW w:w="3245" w:type="dxa"/>
            <w:tcBorders>
              <w:top w:val="nil"/>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Reel Kesim Güven E.</w:t>
            </w:r>
          </w:p>
        </w:tc>
        <w:tc>
          <w:tcPr>
            <w:tcW w:w="977"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3,5</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2,0</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-0,7</w:t>
            </w:r>
          </w:p>
        </w:tc>
        <w:tc>
          <w:tcPr>
            <w:tcW w:w="978" w:type="dxa"/>
            <w:tcBorders>
              <w:top w:val="nil"/>
              <w:left w:val="sing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-1,7</w:t>
            </w:r>
          </w:p>
        </w:tc>
        <w:tc>
          <w:tcPr>
            <w:tcW w:w="978" w:type="dxa"/>
            <w:tcBorders>
              <w:top w:val="nil"/>
              <w:left w:val="single" w:sz="4" w:space="0" w:color="auto"/>
              <w:bottom w:val="single" w:sz="4" w:space="0" w:color="auto"/>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-3,5</w:t>
            </w:r>
          </w:p>
        </w:tc>
        <w:tc>
          <w:tcPr>
            <w:tcW w:w="987" w:type="dxa"/>
            <w:tcBorders>
              <w:top w:val="nil"/>
              <w:left w:val="double" w:sz="4" w:space="0" w:color="auto"/>
              <w:bottom w:val="single" w:sz="4" w:space="0" w:color="auto"/>
              <w:right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-0,2</w:t>
            </w:r>
          </w:p>
        </w:tc>
        <w:tc>
          <w:tcPr>
            <w:tcW w:w="988" w:type="dxa"/>
            <w:tcBorders>
              <w:top w:val="nil"/>
              <w:left w:val="single" w:sz="4" w:space="0" w:color="auto"/>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-0,6</w:t>
            </w:r>
          </w:p>
        </w:tc>
      </w:tr>
      <w:tr w:rsidR="002F0024" w:rsidRPr="00A759A9">
        <w:tc>
          <w:tcPr>
            <w:tcW w:w="3245" w:type="dxa"/>
            <w:tcBorders>
              <w:bottom w:val="nil"/>
            </w:tcBorders>
            <w:vAlign w:val="center"/>
          </w:tcPr>
          <w:p w:rsidR="002F0024" w:rsidRPr="00A759A9" w:rsidRDefault="002F0024" w:rsidP="006B423D">
            <w:pPr>
              <w:spacing w:line="288" w:lineRule="auto"/>
              <w:ind w:right="77"/>
              <w:jc w:val="center"/>
              <w:rPr>
                <w:b/>
                <w:sz w:val="22"/>
                <w:szCs w:val="22"/>
              </w:rPr>
            </w:pPr>
            <w:r w:rsidRPr="00A759A9">
              <w:rPr>
                <w:b/>
                <w:sz w:val="22"/>
                <w:szCs w:val="22"/>
              </w:rPr>
              <w:t>Finansal Göstergeler</w:t>
            </w:r>
          </w:p>
        </w:tc>
        <w:tc>
          <w:tcPr>
            <w:tcW w:w="977"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p>
        </w:tc>
        <w:tc>
          <w:tcPr>
            <w:tcW w:w="987" w:type="dxa"/>
            <w:tcBorders>
              <w:left w:val="double" w:sz="4" w:space="0" w:color="auto"/>
              <w:bottom w:val="nil"/>
            </w:tcBorders>
            <w:vAlign w:val="center"/>
          </w:tcPr>
          <w:p w:rsidR="002F0024" w:rsidRPr="00A759A9" w:rsidRDefault="002F0024" w:rsidP="006B423D">
            <w:pPr>
              <w:spacing w:line="288" w:lineRule="auto"/>
              <w:ind w:right="77"/>
              <w:jc w:val="center"/>
              <w:rPr>
                <w:sz w:val="22"/>
                <w:szCs w:val="22"/>
              </w:rPr>
            </w:pPr>
          </w:p>
        </w:tc>
        <w:tc>
          <w:tcPr>
            <w:tcW w:w="988" w:type="dxa"/>
            <w:tcBorders>
              <w:bottom w:val="nil"/>
            </w:tcBorders>
            <w:vAlign w:val="center"/>
          </w:tcPr>
          <w:p w:rsidR="002F0024" w:rsidRPr="00A759A9" w:rsidRDefault="002F0024" w:rsidP="006B423D">
            <w:pPr>
              <w:spacing w:line="288" w:lineRule="auto"/>
              <w:ind w:right="77"/>
              <w:jc w:val="center"/>
              <w:rPr>
                <w:sz w:val="22"/>
                <w:szCs w:val="22"/>
              </w:rPr>
            </w:pPr>
          </w:p>
        </w:tc>
      </w:tr>
      <w:tr w:rsidR="002F0024" w:rsidRPr="00A759A9">
        <w:tc>
          <w:tcPr>
            <w:tcW w:w="3245" w:type="dxa"/>
            <w:tcBorders>
              <w:top w:val="nil"/>
              <w:bottom w:val="single" w:sz="4" w:space="0" w:color="auto"/>
            </w:tcBorders>
            <w:vAlign w:val="center"/>
          </w:tcPr>
          <w:p w:rsidR="002F0024" w:rsidRPr="00A759A9" w:rsidRDefault="002F0024" w:rsidP="006B423D">
            <w:pPr>
              <w:spacing w:line="288" w:lineRule="auto"/>
              <w:ind w:right="77"/>
              <w:jc w:val="center"/>
              <w:rPr>
                <w:sz w:val="22"/>
                <w:szCs w:val="22"/>
              </w:rPr>
            </w:pPr>
            <w:r w:rsidRPr="00A759A9">
              <w:rPr>
                <w:sz w:val="22"/>
                <w:szCs w:val="22"/>
              </w:rPr>
              <w:t>İMKB 100</w:t>
            </w:r>
          </w:p>
        </w:tc>
        <w:tc>
          <w:tcPr>
            <w:tcW w:w="977" w:type="dxa"/>
            <w:tcBorders>
              <w:top w:val="nil"/>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17,4</w:t>
            </w:r>
          </w:p>
        </w:tc>
        <w:tc>
          <w:tcPr>
            <w:tcW w:w="978" w:type="dxa"/>
            <w:tcBorders>
              <w:top w:val="nil"/>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-1,6</w:t>
            </w:r>
          </w:p>
        </w:tc>
        <w:tc>
          <w:tcPr>
            <w:tcW w:w="978" w:type="dxa"/>
            <w:tcBorders>
              <w:top w:val="nil"/>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-5,4</w:t>
            </w:r>
          </w:p>
        </w:tc>
        <w:tc>
          <w:tcPr>
            <w:tcW w:w="978" w:type="dxa"/>
            <w:tcBorders>
              <w:top w:val="nil"/>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-3,0</w:t>
            </w:r>
          </w:p>
        </w:tc>
        <w:tc>
          <w:tcPr>
            <w:tcW w:w="978" w:type="dxa"/>
            <w:tcBorders>
              <w:top w:val="nil"/>
              <w:bottom w:val="single" w:sz="4" w:space="0" w:color="auto"/>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5,6</w:t>
            </w:r>
          </w:p>
        </w:tc>
        <w:tc>
          <w:tcPr>
            <w:tcW w:w="987" w:type="dxa"/>
            <w:tcBorders>
              <w:top w:val="nil"/>
              <w:left w:val="double" w:sz="4" w:space="0" w:color="auto"/>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5,4</w:t>
            </w:r>
          </w:p>
        </w:tc>
        <w:tc>
          <w:tcPr>
            <w:tcW w:w="988" w:type="dxa"/>
            <w:tcBorders>
              <w:top w:val="nil"/>
              <w:bottom w:val="single" w:sz="4" w:space="0" w:color="auto"/>
            </w:tcBorders>
            <w:vAlign w:val="center"/>
          </w:tcPr>
          <w:p w:rsidR="002F0024" w:rsidRPr="00A759A9" w:rsidRDefault="002F0024" w:rsidP="006B423D">
            <w:pPr>
              <w:spacing w:line="288" w:lineRule="auto"/>
              <w:ind w:right="77"/>
              <w:jc w:val="center"/>
              <w:rPr>
                <w:sz w:val="22"/>
                <w:szCs w:val="22"/>
              </w:rPr>
            </w:pPr>
            <w:r>
              <w:rPr>
                <w:sz w:val="22"/>
                <w:szCs w:val="22"/>
              </w:rPr>
              <w:t>-1,8</w:t>
            </w:r>
          </w:p>
        </w:tc>
      </w:tr>
      <w:tr w:rsidR="002F0024" w:rsidRPr="00A759A9">
        <w:tc>
          <w:tcPr>
            <w:tcW w:w="3245" w:type="dxa"/>
            <w:tcBorders>
              <w:bottom w:val="nil"/>
            </w:tcBorders>
            <w:vAlign w:val="center"/>
          </w:tcPr>
          <w:p w:rsidR="002F0024" w:rsidRPr="00A759A9" w:rsidRDefault="002F0024" w:rsidP="006B423D">
            <w:pPr>
              <w:spacing w:line="288" w:lineRule="auto"/>
              <w:ind w:right="77"/>
              <w:jc w:val="center"/>
              <w:rPr>
                <w:b/>
                <w:sz w:val="22"/>
                <w:szCs w:val="22"/>
              </w:rPr>
            </w:pPr>
            <w:r w:rsidRPr="00A759A9">
              <w:rPr>
                <w:b/>
                <w:sz w:val="22"/>
                <w:szCs w:val="22"/>
              </w:rPr>
              <w:t>Diğerleri</w:t>
            </w:r>
          </w:p>
        </w:tc>
        <w:tc>
          <w:tcPr>
            <w:tcW w:w="977"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tcBorders>
            <w:vAlign w:val="center"/>
          </w:tcPr>
          <w:p w:rsidR="002F0024" w:rsidRPr="00A759A9" w:rsidRDefault="002F0024" w:rsidP="006B423D">
            <w:pPr>
              <w:spacing w:line="288" w:lineRule="auto"/>
              <w:ind w:right="77"/>
              <w:jc w:val="center"/>
              <w:rPr>
                <w:sz w:val="22"/>
                <w:szCs w:val="22"/>
              </w:rPr>
            </w:pPr>
          </w:p>
        </w:tc>
        <w:tc>
          <w:tcPr>
            <w:tcW w:w="978" w:type="dxa"/>
            <w:tcBorders>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p>
        </w:tc>
        <w:tc>
          <w:tcPr>
            <w:tcW w:w="987" w:type="dxa"/>
            <w:tcBorders>
              <w:left w:val="double" w:sz="4" w:space="0" w:color="auto"/>
              <w:bottom w:val="nil"/>
            </w:tcBorders>
            <w:vAlign w:val="center"/>
          </w:tcPr>
          <w:p w:rsidR="002F0024" w:rsidRPr="00A759A9" w:rsidRDefault="002F0024" w:rsidP="006B423D">
            <w:pPr>
              <w:spacing w:line="288" w:lineRule="auto"/>
              <w:ind w:right="77"/>
              <w:jc w:val="center"/>
              <w:rPr>
                <w:sz w:val="22"/>
                <w:szCs w:val="22"/>
              </w:rPr>
            </w:pPr>
          </w:p>
        </w:tc>
        <w:tc>
          <w:tcPr>
            <w:tcW w:w="988" w:type="dxa"/>
            <w:tcBorders>
              <w:bottom w:val="nil"/>
            </w:tcBorders>
            <w:vAlign w:val="center"/>
          </w:tcPr>
          <w:p w:rsidR="002F0024" w:rsidRPr="00A759A9" w:rsidRDefault="002F0024" w:rsidP="006B423D">
            <w:pPr>
              <w:spacing w:line="288" w:lineRule="auto"/>
              <w:ind w:right="77"/>
              <w:jc w:val="center"/>
              <w:rPr>
                <w:sz w:val="22"/>
                <w:szCs w:val="22"/>
              </w:rPr>
            </w:pPr>
          </w:p>
        </w:tc>
      </w:tr>
      <w:tr w:rsidR="002F0024" w:rsidRPr="00A759A9">
        <w:tc>
          <w:tcPr>
            <w:tcW w:w="3245" w:type="dxa"/>
            <w:tcBorders>
              <w:top w:val="nil"/>
              <w:bottom w:val="nil"/>
            </w:tcBorders>
            <w:vAlign w:val="center"/>
          </w:tcPr>
          <w:p w:rsidR="002F0024" w:rsidRPr="00A759A9" w:rsidRDefault="002F0024" w:rsidP="006B423D">
            <w:pPr>
              <w:spacing w:line="288" w:lineRule="auto"/>
              <w:ind w:right="77"/>
              <w:jc w:val="center"/>
              <w:rPr>
                <w:sz w:val="22"/>
                <w:szCs w:val="22"/>
              </w:rPr>
            </w:pPr>
            <w:r w:rsidRPr="00A759A9">
              <w:rPr>
                <w:sz w:val="22"/>
                <w:szCs w:val="22"/>
              </w:rPr>
              <w:t>Özel tüketim vergisi (ÖTV)</w:t>
            </w:r>
          </w:p>
        </w:tc>
        <w:tc>
          <w:tcPr>
            <w:tcW w:w="977" w:type="dxa"/>
            <w:tcBorders>
              <w:top w:val="nil"/>
              <w:bottom w:val="nil"/>
            </w:tcBorders>
            <w:vAlign w:val="center"/>
          </w:tcPr>
          <w:p w:rsidR="002F0024" w:rsidRPr="00A759A9" w:rsidRDefault="002F0024" w:rsidP="006B423D">
            <w:pPr>
              <w:spacing w:line="288" w:lineRule="auto"/>
              <w:ind w:right="77"/>
              <w:jc w:val="center"/>
              <w:rPr>
                <w:sz w:val="22"/>
                <w:szCs w:val="22"/>
              </w:rPr>
            </w:pPr>
            <w:r>
              <w:rPr>
                <w:sz w:val="22"/>
                <w:szCs w:val="22"/>
              </w:rPr>
              <w:t>1,9</w:t>
            </w:r>
          </w:p>
        </w:tc>
        <w:tc>
          <w:tcPr>
            <w:tcW w:w="978" w:type="dxa"/>
            <w:tcBorders>
              <w:top w:val="nil"/>
              <w:bottom w:val="nil"/>
            </w:tcBorders>
            <w:vAlign w:val="center"/>
          </w:tcPr>
          <w:p w:rsidR="002F0024" w:rsidRPr="00A759A9" w:rsidRDefault="002F0024" w:rsidP="006B423D">
            <w:pPr>
              <w:spacing w:line="288" w:lineRule="auto"/>
              <w:ind w:right="77"/>
              <w:jc w:val="center"/>
              <w:rPr>
                <w:sz w:val="22"/>
                <w:szCs w:val="22"/>
              </w:rPr>
            </w:pPr>
            <w:r>
              <w:rPr>
                <w:sz w:val="22"/>
                <w:szCs w:val="22"/>
              </w:rPr>
              <w:t>5,0</w:t>
            </w:r>
          </w:p>
        </w:tc>
        <w:tc>
          <w:tcPr>
            <w:tcW w:w="978" w:type="dxa"/>
            <w:tcBorders>
              <w:top w:val="nil"/>
              <w:bottom w:val="nil"/>
            </w:tcBorders>
            <w:vAlign w:val="center"/>
          </w:tcPr>
          <w:p w:rsidR="002F0024" w:rsidRPr="00A759A9" w:rsidRDefault="002F0024" w:rsidP="006B423D">
            <w:pPr>
              <w:spacing w:line="288" w:lineRule="auto"/>
              <w:ind w:right="77"/>
              <w:jc w:val="center"/>
              <w:rPr>
                <w:sz w:val="22"/>
                <w:szCs w:val="22"/>
              </w:rPr>
            </w:pPr>
            <w:r>
              <w:rPr>
                <w:sz w:val="22"/>
                <w:szCs w:val="22"/>
              </w:rPr>
              <w:t>-2,2</w:t>
            </w:r>
          </w:p>
        </w:tc>
        <w:tc>
          <w:tcPr>
            <w:tcW w:w="978" w:type="dxa"/>
            <w:tcBorders>
              <w:top w:val="nil"/>
              <w:bottom w:val="nil"/>
            </w:tcBorders>
            <w:vAlign w:val="center"/>
          </w:tcPr>
          <w:p w:rsidR="002F0024" w:rsidRPr="00A759A9" w:rsidRDefault="002F0024" w:rsidP="006B423D">
            <w:pPr>
              <w:spacing w:line="288" w:lineRule="auto"/>
              <w:ind w:right="77"/>
              <w:jc w:val="center"/>
              <w:rPr>
                <w:sz w:val="22"/>
                <w:szCs w:val="22"/>
              </w:rPr>
            </w:pPr>
            <w:r>
              <w:rPr>
                <w:sz w:val="22"/>
                <w:szCs w:val="22"/>
              </w:rPr>
              <w:t>5,4</w:t>
            </w:r>
          </w:p>
        </w:tc>
        <w:tc>
          <w:tcPr>
            <w:tcW w:w="978" w:type="dxa"/>
            <w:tcBorders>
              <w:top w:val="nil"/>
              <w:bottom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bottom w:val="nil"/>
            </w:tcBorders>
            <w:vAlign w:val="center"/>
          </w:tcPr>
          <w:p w:rsidR="002F0024" w:rsidRPr="00A759A9" w:rsidRDefault="002F0024" w:rsidP="006B423D">
            <w:pPr>
              <w:spacing w:line="288" w:lineRule="auto"/>
              <w:ind w:right="77"/>
              <w:jc w:val="center"/>
              <w:rPr>
                <w:sz w:val="22"/>
                <w:szCs w:val="22"/>
              </w:rPr>
            </w:pPr>
            <w:r>
              <w:rPr>
                <w:sz w:val="22"/>
                <w:szCs w:val="22"/>
              </w:rPr>
              <w:t>-5,1</w:t>
            </w:r>
          </w:p>
        </w:tc>
        <w:tc>
          <w:tcPr>
            <w:tcW w:w="988" w:type="dxa"/>
            <w:tcBorders>
              <w:top w:val="nil"/>
              <w:bottom w:val="nil"/>
            </w:tcBorders>
            <w:vAlign w:val="center"/>
          </w:tcPr>
          <w:p w:rsidR="002F0024" w:rsidRPr="00A759A9" w:rsidRDefault="002F0024" w:rsidP="006B423D">
            <w:pPr>
              <w:spacing w:line="288" w:lineRule="auto"/>
              <w:ind w:right="77"/>
              <w:jc w:val="center"/>
              <w:rPr>
                <w:sz w:val="22"/>
                <w:szCs w:val="22"/>
              </w:rPr>
            </w:pPr>
            <w:r>
              <w:rPr>
                <w:sz w:val="22"/>
                <w:szCs w:val="22"/>
              </w:rPr>
              <w:t>4,4</w:t>
            </w:r>
          </w:p>
        </w:tc>
      </w:tr>
      <w:tr w:rsidR="002F0024" w:rsidRPr="00A759A9">
        <w:tc>
          <w:tcPr>
            <w:tcW w:w="3245" w:type="dxa"/>
            <w:tcBorders>
              <w:top w:val="nil"/>
            </w:tcBorders>
            <w:vAlign w:val="center"/>
          </w:tcPr>
          <w:p w:rsidR="002F0024" w:rsidRPr="00A759A9" w:rsidRDefault="002F0024" w:rsidP="006B423D">
            <w:pPr>
              <w:spacing w:line="288" w:lineRule="auto"/>
              <w:ind w:right="77"/>
              <w:jc w:val="center"/>
              <w:rPr>
                <w:sz w:val="22"/>
                <w:szCs w:val="22"/>
              </w:rPr>
            </w:pPr>
            <w:r w:rsidRPr="00A759A9">
              <w:rPr>
                <w:sz w:val="22"/>
                <w:szCs w:val="22"/>
              </w:rPr>
              <w:t>Binek otomobil üretimi</w:t>
            </w:r>
          </w:p>
        </w:tc>
        <w:tc>
          <w:tcPr>
            <w:tcW w:w="977" w:type="dxa"/>
            <w:tcBorders>
              <w:top w:val="nil"/>
            </w:tcBorders>
            <w:vAlign w:val="center"/>
          </w:tcPr>
          <w:p w:rsidR="002F0024" w:rsidRPr="00A759A9" w:rsidRDefault="002F0024" w:rsidP="006B423D">
            <w:pPr>
              <w:spacing w:line="288" w:lineRule="auto"/>
              <w:ind w:right="77"/>
              <w:jc w:val="center"/>
              <w:rPr>
                <w:sz w:val="22"/>
                <w:szCs w:val="22"/>
              </w:rPr>
            </w:pPr>
            <w:r>
              <w:rPr>
                <w:sz w:val="22"/>
                <w:szCs w:val="22"/>
              </w:rPr>
              <w:t>0,5</w:t>
            </w:r>
          </w:p>
        </w:tc>
        <w:tc>
          <w:tcPr>
            <w:tcW w:w="978" w:type="dxa"/>
            <w:tcBorders>
              <w:top w:val="nil"/>
            </w:tcBorders>
            <w:vAlign w:val="center"/>
          </w:tcPr>
          <w:p w:rsidR="002F0024" w:rsidRPr="00A759A9" w:rsidRDefault="002F0024" w:rsidP="006B423D">
            <w:pPr>
              <w:spacing w:line="288" w:lineRule="auto"/>
              <w:ind w:right="77"/>
              <w:jc w:val="center"/>
              <w:rPr>
                <w:sz w:val="22"/>
                <w:szCs w:val="22"/>
              </w:rPr>
            </w:pPr>
            <w:r>
              <w:rPr>
                <w:sz w:val="22"/>
                <w:szCs w:val="22"/>
              </w:rPr>
              <w:t>-10,1</w:t>
            </w:r>
          </w:p>
        </w:tc>
        <w:tc>
          <w:tcPr>
            <w:tcW w:w="978" w:type="dxa"/>
            <w:tcBorders>
              <w:top w:val="nil"/>
            </w:tcBorders>
            <w:vAlign w:val="center"/>
          </w:tcPr>
          <w:p w:rsidR="002F0024" w:rsidRPr="00A759A9" w:rsidRDefault="002F0024" w:rsidP="006B423D">
            <w:pPr>
              <w:spacing w:line="288" w:lineRule="auto"/>
              <w:ind w:right="77"/>
              <w:jc w:val="center"/>
              <w:rPr>
                <w:sz w:val="22"/>
                <w:szCs w:val="22"/>
              </w:rPr>
            </w:pPr>
            <w:r>
              <w:rPr>
                <w:sz w:val="22"/>
                <w:szCs w:val="22"/>
              </w:rPr>
              <w:t>-3,4</w:t>
            </w:r>
          </w:p>
        </w:tc>
        <w:tc>
          <w:tcPr>
            <w:tcW w:w="978" w:type="dxa"/>
            <w:tcBorders>
              <w:top w:val="nil"/>
            </w:tcBorders>
            <w:vAlign w:val="center"/>
          </w:tcPr>
          <w:p w:rsidR="002F0024" w:rsidRPr="00A759A9" w:rsidRDefault="002F0024" w:rsidP="006B423D">
            <w:pPr>
              <w:spacing w:line="288" w:lineRule="auto"/>
              <w:ind w:right="77"/>
              <w:jc w:val="center"/>
              <w:rPr>
                <w:sz w:val="22"/>
                <w:szCs w:val="22"/>
              </w:rPr>
            </w:pPr>
            <w:r>
              <w:rPr>
                <w:sz w:val="22"/>
                <w:szCs w:val="22"/>
              </w:rPr>
              <w:t>5,8</w:t>
            </w:r>
          </w:p>
        </w:tc>
        <w:tc>
          <w:tcPr>
            <w:tcW w:w="978" w:type="dxa"/>
            <w:tcBorders>
              <w:top w:val="nil"/>
              <w:right w:val="double" w:sz="4" w:space="0" w:color="auto"/>
            </w:tcBorders>
            <w:tcMar>
              <w:left w:w="57" w:type="dxa"/>
              <w:right w:w="170" w:type="dxa"/>
            </w:tcMar>
            <w:vAlign w:val="center"/>
          </w:tcPr>
          <w:p w:rsidR="002F0024" w:rsidRPr="00A759A9" w:rsidRDefault="002F0024" w:rsidP="006B423D">
            <w:pPr>
              <w:spacing w:line="288" w:lineRule="auto"/>
              <w:ind w:right="77"/>
              <w:jc w:val="center"/>
              <w:rPr>
                <w:sz w:val="22"/>
                <w:szCs w:val="22"/>
              </w:rPr>
            </w:pPr>
            <w:r>
              <w:rPr>
                <w:sz w:val="22"/>
                <w:szCs w:val="22"/>
              </w:rPr>
              <w:t>**</w:t>
            </w:r>
          </w:p>
        </w:tc>
        <w:tc>
          <w:tcPr>
            <w:tcW w:w="987" w:type="dxa"/>
            <w:tcBorders>
              <w:top w:val="nil"/>
              <w:left w:val="double" w:sz="4" w:space="0" w:color="auto"/>
            </w:tcBorders>
            <w:vAlign w:val="center"/>
          </w:tcPr>
          <w:p w:rsidR="002F0024" w:rsidRPr="00A759A9" w:rsidRDefault="002F0024" w:rsidP="006B423D">
            <w:pPr>
              <w:spacing w:line="288" w:lineRule="auto"/>
              <w:ind w:right="77"/>
              <w:jc w:val="center"/>
              <w:rPr>
                <w:sz w:val="22"/>
                <w:szCs w:val="22"/>
              </w:rPr>
            </w:pPr>
            <w:r>
              <w:rPr>
                <w:sz w:val="22"/>
                <w:szCs w:val="22"/>
              </w:rPr>
              <w:t>-8,5</w:t>
            </w:r>
          </w:p>
        </w:tc>
        <w:tc>
          <w:tcPr>
            <w:tcW w:w="988" w:type="dxa"/>
            <w:tcBorders>
              <w:top w:val="nil"/>
            </w:tcBorders>
            <w:vAlign w:val="center"/>
          </w:tcPr>
          <w:p w:rsidR="002F0024" w:rsidRPr="00A759A9" w:rsidRDefault="002F0024" w:rsidP="006B423D">
            <w:pPr>
              <w:spacing w:line="288" w:lineRule="auto"/>
              <w:ind w:right="77"/>
              <w:jc w:val="center"/>
              <w:rPr>
                <w:sz w:val="22"/>
                <w:szCs w:val="22"/>
              </w:rPr>
            </w:pPr>
            <w:r>
              <w:rPr>
                <w:sz w:val="22"/>
                <w:szCs w:val="22"/>
              </w:rPr>
              <w:t>-7,4</w:t>
            </w:r>
          </w:p>
        </w:tc>
      </w:tr>
    </w:tbl>
    <w:bookmarkEnd w:id="0"/>
    <w:p w:rsidR="00922C21" w:rsidRDefault="0072768C" w:rsidP="002F0024">
      <w:pPr>
        <w:spacing w:line="360" w:lineRule="auto"/>
        <w:ind w:right="42"/>
        <w:jc w:val="both"/>
        <w:rPr>
          <w:sz w:val="18"/>
          <w:szCs w:val="18"/>
        </w:rPr>
      </w:pPr>
      <w:r w:rsidRPr="008C6E50">
        <w:rPr>
          <w:sz w:val="18"/>
          <w:szCs w:val="18"/>
        </w:rPr>
        <w:t>Kaynak: TUIK, TCMB, IMKB, BETAM</w:t>
      </w:r>
      <w:r>
        <w:rPr>
          <w:sz w:val="18"/>
          <w:szCs w:val="18"/>
        </w:rPr>
        <w:t xml:space="preserve">. </w:t>
      </w:r>
    </w:p>
    <w:p w:rsidR="004259B8" w:rsidRPr="004259B8" w:rsidRDefault="004259B8" w:rsidP="004259B8">
      <w:pPr>
        <w:spacing w:line="360" w:lineRule="auto"/>
        <w:ind w:left="-720" w:right="42" w:firstLine="360"/>
        <w:jc w:val="both"/>
        <w:rPr>
          <w:sz w:val="18"/>
          <w:szCs w:val="18"/>
        </w:rPr>
        <w:sectPr w:rsidR="004259B8" w:rsidRPr="004259B8" w:rsidSect="008651A8">
          <w:type w:val="continuous"/>
          <w:pgSz w:w="11906" w:h="16838"/>
          <w:pgMar w:top="1417" w:right="1417" w:bottom="1417" w:left="1417" w:header="708" w:footer="708" w:gutter="0"/>
          <w:cols w:space="708"/>
          <w:docGrid w:linePitch="360"/>
        </w:sect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4259B8">
      <w:pPr>
        <w:ind w:left="-360" w:right="42"/>
        <w:jc w:val="both"/>
        <w:rPr>
          <w:b/>
          <w:sz w:val="22"/>
          <w:szCs w:val="22"/>
        </w:rPr>
      </w:pPr>
    </w:p>
    <w:p w:rsidR="00647676" w:rsidRDefault="00647676" w:rsidP="002F0024">
      <w:pPr>
        <w:ind w:right="42"/>
        <w:jc w:val="both"/>
        <w:rPr>
          <w:b/>
          <w:sz w:val="22"/>
          <w:szCs w:val="22"/>
        </w:rPr>
      </w:pPr>
    </w:p>
    <w:p w:rsidR="00F557C3" w:rsidRDefault="00F557C3" w:rsidP="004259B8">
      <w:pPr>
        <w:ind w:left="-360" w:right="42"/>
        <w:jc w:val="both"/>
        <w:rPr>
          <w:b/>
          <w:sz w:val="22"/>
          <w:szCs w:val="22"/>
        </w:rPr>
      </w:pPr>
    </w:p>
    <w:p w:rsidR="0072768C" w:rsidRDefault="0072768C" w:rsidP="004259B8">
      <w:pPr>
        <w:ind w:left="-360" w:right="42"/>
        <w:jc w:val="both"/>
        <w:rPr>
          <w:b/>
          <w:sz w:val="22"/>
          <w:szCs w:val="22"/>
        </w:rPr>
      </w:pPr>
      <w:r w:rsidRPr="008C6E50">
        <w:rPr>
          <w:b/>
          <w:sz w:val="22"/>
          <w:szCs w:val="22"/>
        </w:rPr>
        <w:lastRenderedPageBreak/>
        <w:t xml:space="preserve">Şekil 1: Kapasite </w:t>
      </w:r>
      <w:r>
        <w:rPr>
          <w:b/>
          <w:sz w:val="22"/>
          <w:szCs w:val="22"/>
        </w:rPr>
        <w:t>k</w:t>
      </w:r>
      <w:r w:rsidRPr="008C6E50">
        <w:rPr>
          <w:b/>
          <w:sz w:val="22"/>
          <w:szCs w:val="22"/>
        </w:rPr>
        <w:t xml:space="preserve">ullanım </w:t>
      </w:r>
      <w:r>
        <w:rPr>
          <w:b/>
          <w:sz w:val="22"/>
          <w:szCs w:val="22"/>
        </w:rPr>
        <w:t>o</w:t>
      </w:r>
      <w:r w:rsidRPr="008C6E50">
        <w:rPr>
          <w:b/>
          <w:sz w:val="22"/>
          <w:szCs w:val="22"/>
        </w:rPr>
        <w:t xml:space="preserve">ranı ve </w:t>
      </w:r>
      <w:r>
        <w:rPr>
          <w:b/>
          <w:sz w:val="22"/>
          <w:szCs w:val="22"/>
        </w:rPr>
        <w:t>s</w:t>
      </w:r>
      <w:r w:rsidRPr="008C6E50">
        <w:rPr>
          <w:b/>
          <w:sz w:val="22"/>
          <w:szCs w:val="22"/>
        </w:rPr>
        <w:t xml:space="preserve">anayi </w:t>
      </w:r>
      <w:r>
        <w:rPr>
          <w:b/>
          <w:sz w:val="22"/>
          <w:szCs w:val="22"/>
        </w:rPr>
        <w:t>ü</w:t>
      </w:r>
      <w:r w:rsidRPr="008C6E50">
        <w:rPr>
          <w:b/>
          <w:sz w:val="22"/>
          <w:szCs w:val="22"/>
        </w:rPr>
        <w:t xml:space="preserve">retim </w:t>
      </w:r>
      <w:r>
        <w:rPr>
          <w:b/>
          <w:sz w:val="22"/>
          <w:szCs w:val="22"/>
        </w:rPr>
        <w:t>e</w:t>
      </w:r>
      <w:r w:rsidRPr="008C6E50">
        <w:rPr>
          <w:b/>
          <w:sz w:val="22"/>
          <w:szCs w:val="22"/>
        </w:rPr>
        <w:t>ndeksi (</w:t>
      </w:r>
      <w:r>
        <w:rPr>
          <w:b/>
          <w:sz w:val="22"/>
          <w:szCs w:val="22"/>
        </w:rPr>
        <w:t>mea</w:t>
      </w:r>
      <w:r w:rsidRPr="008C6E50">
        <w:rPr>
          <w:b/>
          <w:sz w:val="22"/>
          <w:szCs w:val="22"/>
        </w:rPr>
        <w:t>)</w:t>
      </w:r>
    </w:p>
    <w:p w:rsidR="0072768C" w:rsidRPr="007067F4" w:rsidRDefault="0072768C" w:rsidP="0072768C">
      <w:pPr>
        <w:ind w:left="-360" w:right="42"/>
        <w:jc w:val="both"/>
        <w:rPr>
          <w:b/>
          <w:sz w:val="8"/>
          <w:szCs w:val="8"/>
        </w:rPr>
      </w:pPr>
    </w:p>
    <w:p w:rsidR="0072768C" w:rsidRPr="00CE2137" w:rsidRDefault="004944B1" w:rsidP="00143024">
      <w:pPr>
        <w:ind w:left="-360" w:right="42"/>
        <w:jc w:val="both"/>
      </w:pPr>
      <w:r>
        <w:rPr>
          <w:noProof/>
          <w:lang w:val="en-US" w:eastAsia="en-US"/>
        </w:rPr>
        <w:drawing>
          <wp:inline distT="0" distB="0" distL="0" distR="0">
            <wp:extent cx="2770080" cy="23431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70080" cy="2343150"/>
                    </a:xfrm>
                    <a:prstGeom prst="rect">
                      <a:avLst/>
                    </a:prstGeom>
                    <a:noFill/>
                    <a:ln w="9525">
                      <a:noFill/>
                      <a:miter lim="800000"/>
                      <a:headEnd/>
                      <a:tailEnd/>
                    </a:ln>
                  </pic:spPr>
                </pic:pic>
              </a:graphicData>
            </a:graphic>
          </wp:inline>
        </w:drawing>
      </w:r>
    </w:p>
    <w:p w:rsidR="0072768C" w:rsidRDefault="0072768C" w:rsidP="00143024">
      <w:pPr>
        <w:ind w:left="-360" w:right="42"/>
        <w:jc w:val="both"/>
        <w:rPr>
          <w:sz w:val="18"/>
          <w:szCs w:val="18"/>
        </w:rPr>
      </w:pPr>
      <w:r w:rsidRPr="008C6E50">
        <w:rPr>
          <w:sz w:val="18"/>
          <w:szCs w:val="18"/>
        </w:rPr>
        <w:t xml:space="preserve">Kaynak : TÜİK, Betam (sol taraf KKO ekseni, sağ taraf SÜE </w:t>
      </w:r>
      <w:r>
        <w:rPr>
          <w:sz w:val="18"/>
          <w:szCs w:val="18"/>
        </w:rPr>
        <w:t xml:space="preserve">  </w:t>
      </w:r>
    </w:p>
    <w:p w:rsidR="0072768C" w:rsidRPr="008C6E50" w:rsidRDefault="0072768C" w:rsidP="00143024">
      <w:pPr>
        <w:ind w:left="-360" w:right="42"/>
        <w:jc w:val="both"/>
        <w:rPr>
          <w:sz w:val="18"/>
          <w:szCs w:val="18"/>
        </w:rPr>
      </w:pPr>
      <w:r>
        <w:rPr>
          <w:sz w:val="18"/>
          <w:szCs w:val="18"/>
        </w:rPr>
        <w:t xml:space="preserve"> </w:t>
      </w:r>
      <w:r w:rsidRPr="008C6E50">
        <w:rPr>
          <w:sz w:val="18"/>
          <w:szCs w:val="18"/>
        </w:rPr>
        <w:t>ekseni)</w:t>
      </w:r>
    </w:p>
    <w:p w:rsidR="00143024" w:rsidRDefault="00143024" w:rsidP="0072768C">
      <w:pPr>
        <w:ind w:left="-360" w:right="42"/>
        <w:jc w:val="both"/>
        <w:rPr>
          <w:b/>
          <w:sz w:val="22"/>
          <w:szCs w:val="22"/>
        </w:rPr>
      </w:pPr>
    </w:p>
    <w:p w:rsidR="00143024" w:rsidRDefault="00143024" w:rsidP="000F2DB4">
      <w:pPr>
        <w:ind w:right="42"/>
        <w:jc w:val="both"/>
        <w:rPr>
          <w:b/>
          <w:sz w:val="22"/>
          <w:szCs w:val="22"/>
        </w:rPr>
      </w:pPr>
    </w:p>
    <w:p w:rsidR="0072768C" w:rsidRDefault="0072768C" w:rsidP="0072768C">
      <w:pPr>
        <w:ind w:left="-360" w:right="42"/>
        <w:jc w:val="both"/>
        <w:rPr>
          <w:b/>
          <w:sz w:val="22"/>
          <w:szCs w:val="22"/>
        </w:rPr>
      </w:pPr>
      <w:r w:rsidRPr="008C6E50">
        <w:rPr>
          <w:b/>
          <w:sz w:val="22"/>
          <w:szCs w:val="22"/>
        </w:rPr>
        <w:lastRenderedPageBreak/>
        <w:t>Şekil 2: İhracat ve ithalat miktar endeksleri (</w:t>
      </w:r>
      <w:r>
        <w:rPr>
          <w:b/>
          <w:sz w:val="22"/>
          <w:szCs w:val="22"/>
        </w:rPr>
        <w:t>mea</w:t>
      </w:r>
      <w:r w:rsidRPr="008C6E50">
        <w:rPr>
          <w:b/>
          <w:sz w:val="22"/>
          <w:szCs w:val="22"/>
        </w:rPr>
        <w:t>)</w:t>
      </w:r>
    </w:p>
    <w:p w:rsidR="0072768C" w:rsidRPr="007067F4" w:rsidRDefault="0072768C" w:rsidP="0072768C">
      <w:pPr>
        <w:spacing w:line="360" w:lineRule="auto"/>
        <w:ind w:left="-360" w:right="42"/>
        <w:jc w:val="both"/>
        <w:rPr>
          <w:b/>
          <w:sz w:val="4"/>
          <w:szCs w:val="4"/>
        </w:rPr>
      </w:pPr>
    </w:p>
    <w:p w:rsidR="0072768C" w:rsidRPr="007067F4" w:rsidRDefault="0072768C" w:rsidP="0072768C">
      <w:pPr>
        <w:spacing w:line="360" w:lineRule="auto"/>
        <w:ind w:left="-360" w:right="42"/>
        <w:jc w:val="both"/>
        <w:rPr>
          <w:sz w:val="4"/>
          <w:szCs w:val="4"/>
        </w:rPr>
      </w:pPr>
    </w:p>
    <w:p w:rsidR="0072768C" w:rsidRPr="00CE2137" w:rsidRDefault="004944B1" w:rsidP="00143024">
      <w:pPr>
        <w:ind w:left="-360" w:right="42"/>
        <w:jc w:val="both"/>
      </w:pPr>
      <w:r>
        <w:rPr>
          <w:noProof/>
          <w:lang w:val="en-US" w:eastAsia="en-US"/>
        </w:rPr>
        <w:drawing>
          <wp:inline distT="0" distB="0" distL="0" distR="0">
            <wp:extent cx="2657475" cy="2314575"/>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657475" cy="2314575"/>
                    </a:xfrm>
                    <a:prstGeom prst="rect">
                      <a:avLst/>
                    </a:prstGeom>
                    <a:noFill/>
                    <a:ln w="9525">
                      <a:noFill/>
                      <a:miter lim="800000"/>
                      <a:headEnd/>
                      <a:tailEnd/>
                    </a:ln>
                  </pic:spPr>
                </pic:pic>
              </a:graphicData>
            </a:graphic>
          </wp:inline>
        </w:drawing>
      </w:r>
    </w:p>
    <w:p w:rsidR="0072768C" w:rsidRPr="008C6E50" w:rsidRDefault="0072768C" w:rsidP="00143024">
      <w:pPr>
        <w:ind w:left="-360" w:right="42"/>
        <w:jc w:val="both"/>
        <w:rPr>
          <w:sz w:val="18"/>
          <w:szCs w:val="18"/>
        </w:rPr>
      </w:pPr>
      <w:r w:rsidRPr="008C6E50">
        <w:rPr>
          <w:sz w:val="18"/>
          <w:szCs w:val="18"/>
        </w:rPr>
        <w:t>Kaynak : TÜİK, Betam</w:t>
      </w:r>
    </w:p>
    <w:p w:rsidR="0072768C" w:rsidRDefault="0072768C" w:rsidP="000F2DB4">
      <w:pPr>
        <w:spacing w:line="360" w:lineRule="auto"/>
        <w:ind w:right="42"/>
        <w:jc w:val="both"/>
        <w:rPr>
          <w:sz w:val="22"/>
          <w:szCs w:val="22"/>
        </w:rPr>
        <w:sectPr w:rsidR="0072768C" w:rsidSect="007067F4">
          <w:type w:val="continuous"/>
          <w:pgSz w:w="11906" w:h="16838"/>
          <w:pgMar w:top="1417" w:right="1417" w:bottom="1417" w:left="1417" w:header="708" w:footer="708" w:gutter="0"/>
          <w:cols w:num="2" w:space="708" w:equalWidth="0">
            <w:col w:w="4182" w:space="708"/>
            <w:col w:w="4182"/>
          </w:cols>
          <w:docGrid w:linePitch="360"/>
        </w:sectPr>
      </w:pPr>
    </w:p>
    <w:p w:rsidR="0072768C" w:rsidRDefault="0072768C" w:rsidP="000F2DB4">
      <w:pPr>
        <w:spacing w:line="360" w:lineRule="auto"/>
        <w:ind w:right="42"/>
        <w:jc w:val="both"/>
        <w:rPr>
          <w:sz w:val="22"/>
          <w:szCs w:val="22"/>
        </w:rPr>
      </w:pPr>
    </w:p>
    <w:p w:rsidR="0072768C" w:rsidRPr="007067F4" w:rsidRDefault="00526CC9" w:rsidP="00B25C94">
      <w:pPr>
        <w:spacing w:line="360" w:lineRule="auto"/>
        <w:ind w:left="-360" w:right="42"/>
        <w:jc w:val="both"/>
        <w:rPr>
          <w:b/>
          <w:sz w:val="22"/>
          <w:szCs w:val="22"/>
        </w:rPr>
      </w:pPr>
      <w:r>
        <w:rPr>
          <w:b/>
          <w:sz w:val="22"/>
          <w:szCs w:val="22"/>
        </w:rPr>
        <w:t>Şekil 3:</w:t>
      </w:r>
      <w:r w:rsidR="00B41700">
        <w:rPr>
          <w:b/>
          <w:sz w:val="22"/>
          <w:szCs w:val="22"/>
        </w:rPr>
        <w:t xml:space="preserve"> </w:t>
      </w:r>
      <w:r w:rsidR="00B41700" w:rsidRPr="007067F4">
        <w:rPr>
          <w:b/>
          <w:sz w:val="22"/>
          <w:szCs w:val="22"/>
        </w:rPr>
        <w:t xml:space="preserve">Çari </w:t>
      </w:r>
      <w:r w:rsidR="00B41700">
        <w:rPr>
          <w:b/>
          <w:sz w:val="22"/>
          <w:szCs w:val="22"/>
        </w:rPr>
        <w:t xml:space="preserve">açığın GSYH’a oranı                           </w:t>
      </w:r>
    </w:p>
    <w:p w:rsidR="00143024" w:rsidRPr="000144EB" w:rsidRDefault="004944B1" w:rsidP="000144EB">
      <w:pPr>
        <w:ind w:left="-360" w:right="42"/>
        <w:rPr>
          <w:szCs w:val="22"/>
        </w:rPr>
      </w:pPr>
      <w:r>
        <w:rPr>
          <w:noProof/>
          <w:szCs w:val="22"/>
          <w:lang w:val="en-US" w:eastAsia="en-US"/>
        </w:rPr>
        <w:drawing>
          <wp:inline distT="0" distB="0" distL="0" distR="0">
            <wp:extent cx="5772150" cy="2847975"/>
            <wp:effectExtent l="1905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5772150" cy="2847975"/>
                    </a:xfrm>
                    <a:prstGeom prst="rect">
                      <a:avLst/>
                    </a:prstGeom>
                    <a:noFill/>
                    <a:ln w="9525">
                      <a:noFill/>
                      <a:miter lim="800000"/>
                      <a:headEnd/>
                      <a:tailEnd/>
                    </a:ln>
                  </pic:spPr>
                </pic:pic>
              </a:graphicData>
            </a:graphic>
          </wp:inline>
        </w:drawing>
      </w:r>
    </w:p>
    <w:p w:rsidR="00B41700" w:rsidRPr="00143024" w:rsidRDefault="00143024" w:rsidP="000144EB">
      <w:pPr>
        <w:ind w:left="-360" w:right="42"/>
        <w:rPr>
          <w:szCs w:val="22"/>
        </w:rPr>
      </w:pPr>
      <w:r>
        <w:rPr>
          <w:sz w:val="18"/>
          <w:szCs w:val="18"/>
        </w:rPr>
        <w:t>Kaynak: TCMB, TUIK, Betam</w:t>
      </w:r>
      <w:r w:rsidR="00B41700">
        <w:rPr>
          <w:sz w:val="18"/>
          <w:szCs w:val="18"/>
        </w:rPr>
        <w:t xml:space="preserve"> </w:t>
      </w:r>
      <w:r w:rsidR="00B41700">
        <w:rPr>
          <w:sz w:val="18"/>
          <w:szCs w:val="18"/>
        </w:rPr>
        <w:tab/>
      </w:r>
      <w:r w:rsidR="00B41700">
        <w:rPr>
          <w:sz w:val="18"/>
          <w:szCs w:val="18"/>
        </w:rPr>
        <w:tab/>
      </w:r>
      <w:r w:rsidR="00B41700">
        <w:rPr>
          <w:sz w:val="18"/>
          <w:szCs w:val="18"/>
        </w:rPr>
        <w:tab/>
      </w:r>
      <w:r w:rsidR="00B41700">
        <w:rPr>
          <w:sz w:val="18"/>
          <w:szCs w:val="18"/>
        </w:rPr>
        <w:tab/>
      </w:r>
    </w:p>
    <w:p w:rsidR="0072768C" w:rsidRPr="00143024" w:rsidRDefault="0072768C" w:rsidP="00143024">
      <w:pPr>
        <w:ind w:left="-360" w:right="42"/>
        <w:rPr>
          <w:szCs w:val="22"/>
        </w:rPr>
      </w:pPr>
    </w:p>
    <w:p w:rsidR="0072768C" w:rsidRPr="000F2DB4" w:rsidRDefault="0072768C" w:rsidP="0072768C">
      <w:pPr>
        <w:spacing w:line="360" w:lineRule="auto"/>
        <w:ind w:left="-360" w:right="42"/>
        <w:jc w:val="both"/>
        <w:rPr>
          <w:sz w:val="22"/>
          <w:szCs w:val="22"/>
        </w:rPr>
      </w:pPr>
    </w:p>
    <w:p w:rsidR="0072768C" w:rsidRDefault="0072768C" w:rsidP="0072768C">
      <w:pPr>
        <w:spacing w:line="360" w:lineRule="auto"/>
        <w:ind w:left="-360" w:right="42"/>
        <w:jc w:val="both"/>
        <w:rPr>
          <w:sz w:val="22"/>
          <w:szCs w:val="22"/>
        </w:rPr>
      </w:pPr>
    </w:p>
    <w:p w:rsidR="0072768C" w:rsidRDefault="0072768C" w:rsidP="0072768C">
      <w:pPr>
        <w:spacing w:line="360" w:lineRule="auto"/>
        <w:ind w:left="-360" w:right="42"/>
        <w:jc w:val="both"/>
        <w:rPr>
          <w:sz w:val="22"/>
          <w:szCs w:val="22"/>
        </w:rPr>
      </w:pPr>
    </w:p>
    <w:p w:rsidR="0072768C" w:rsidRDefault="0072768C" w:rsidP="0072768C">
      <w:pPr>
        <w:spacing w:line="360" w:lineRule="auto"/>
        <w:ind w:left="-360" w:right="42"/>
        <w:jc w:val="both"/>
        <w:rPr>
          <w:sz w:val="22"/>
          <w:szCs w:val="22"/>
        </w:rPr>
      </w:pPr>
    </w:p>
    <w:p w:rsidR="0072768C" w:rsidRDefault="0072768C" w:rsidP="0072768C">
      <w:pPr>
        <w:spacing w:line="360" w:lineRule="auto"/>
        <w:ind w:right="42"/>
        <w:jc w:val="both"/>
        <w:rPr>
          <w:sz w:val="22"/>
          <w:szCs w:val="22"/>
        </w:rPr>
      </w:pPr>
    </w:p>
    <w:p w:rsidR="0082670B" w:rsidRDefault="0082670B" w:rsidP="0072768C">
      <w:pPr>
        <w:spacing w:line="360" w:lineRule="auto"/>
        <w:ind w:right="42"/>
        <w:jc w:val="both"/>
        <w:rPr>
          <w:sz w:val="22"/>
          <w:szCs w:val="22"/>
        </w:rPr>
      </w:pPr>
    </w:p>
    <w:p w:rsidR="0082670B" w:rsidRDefault="0082670B" w:rsidP="0072768C">
      <w:pPr>
        <w:spacing w:line="360" w:lineRule="auto"/>
        <w:ind w:right="42"/>
        <w:jc w:val="both"/>
        <w:rPr>
          <w:sz w:val="22"/>
          <w:szCs w:val="22"/>
        </w:rPr>
      </w:pPr>
    </w:p>
    <w:p w:rsidR="00CE2137" w:rsidRDefault="00CE2137" w:rsidP="0072768C">
      <w:pPr>
        <w:spacing w:line="360" w:lineRule="auto"/>
        <w:ind w:right="42"/>
        <w:jc w:val="both"/>
        <w:rPr>
          <w:b/>
          <w:sz w:val="22"/>
          <w:szCs w:val="22"/>
        </w:rPr>
      </w:pPr>
    </w:p>
    <w:p w:rsidR="0072768C" w:rsidRDefault="0072768C" w:rsidP="0072768C">
      <w:pPr>
        <w:spacing w:line="360" w:lineRule="auto"/>
        <w:ind w:right="42"/>
        <w:jc w:val="both"/>
        <w:rPr>
          <w:b/>
          <w:sz w:val="22"/>
          <w:szCs w:val="22"/>
        </w:rPr>
      </w:pPr>
      <w:r>
        <w:rPr>
          <w:b/>
          <w:sz w:val="22"/>
          <w:szCs w:val="22"/>
        </w:rPr>
        <w:lastRenderedPageBreak/>
        <w:t>Şekil 4</w:t>
      </w:r>
      <w:r w:rsidRPr="008C6E50">
        <w:rPr>
          <w:b/>
          <w:sz w:val="22"/>
          <w:szCs w:val="22"/>
        </w:rPr>
        <w:t xml:space="preserve"> :</w:t>
      </w:r>
      <w:r w:rsidRPr="008C6E50">
        <w:rPr>
          <w:sz w:val="22"/>
          <w:szCs w:val="22"/>
        </w:rPr>
        <w:t xml:space="preserve"> </w:t>
      </w:r>
      <w:r w:rsidRPr="008C6E50">
        <w:rPr>
          <w:b/>
          <w:sz w:val="22"/>
          <w:szCs w:val="22"/>
        </w:rPr>
        <w:t>Altkalemlere göre aylık ihracat değişim oranları (</w:t>
      </w:r>
      <w:r>
        <w:rPr>
          <w:b/>
          <w:sz w:val="22"/>
          <w:szCs w:val="22"/>
        </w:rPr>
        <w:t>mea</w:t>
      </w:r>
      <w:r w:rsidRPr="008C6E50">
        <w:rPr>
          <w:b/>
          <w:sz w:val="22"/>
          <w:szCs w:val="22"/>
        </w:rPr>
        <w:t>)</w:t>
      </w:r>
      <w:r w:rsidR="00E2577B">
        <w:rPr>
          <w:b/>
          <w:sz w:val="22"/>
          <w:szCs w:val="22"/>
        </w:rPr>
        <w:t xml:space="preserve"> (üst şekil Nisan ayını, alt şekil Mayıs ayını gösteriyor)</w:t>
      </w:r>
    </w:p>
    <w:p w:rsidR="008A0F64" w:rsidRPr="008C6E50" w:rsidRDefault="004944B1" w:rsidP="000144EB">
      <w:pPr>
        <w:ind w:right="42"/>
        <w:jc w:val="both"/>
        <w:rPr>
          <w:b/>
          <w:sz w:val="22"/>
          <w:szCs w:val="22"/>
        </w:rPr>
      </w:pPr>
      <w:r>
        <w:rPr>
          <w:noProof/>
          <w:szCs w:val="22"/>
          <w:lang w:val="en-US" w:eastAsia="en-US"/>
        </w:rPr>
        <w:drawing>
          <wp:inline distT="0" distB="0" distL="0" distR="0">
            <wp:extent cx="5762625" cy="5114925"/>
            <wp:effectExtent l="19050" t="0" r="9525"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5762625" cy="5114925"/>
                    </a:xfrm>
                    <a:prstGeom prst="rect">
                      <a:avLst/>
                    </a:prstGeom>
                    <a:noFill/>
                    <a:ln w="9525">
                      <a:noFill/>
                      <a:miter lim="800000"/>
                      <a:headEnd/>
                      <a:tailEnd/>
                    </a:ln>
                  </pic:spPr>
                </pic:pic>
              </a:graphicData>
            </a:graphic>
          </wp:inline>
        </w:drawing>
      </w:r>
    </w:p>
    <w:p w:rsidR="0072768C" w:rsidRDefault="0072768C" w:rsidP="000144EB">
      <w:pPr>
        <w:ind w:right="42"/>
        <w:jc w:val="both"/>
        <w:rPr>
          <w:sz w:val="18"/>
          <w:szCs w:val="18"/>
        </w:rPr>
      </w:pPr>
      <w:r w:rsidRPr="00CC41EB">
        <w:rPr>
          <w:sz w:val="18"/>
          <w:szCs w:val="18"/>
        </w:rPr>
        <w:t>Kaynak : TÜİK, Betam</w:t>
      </w:r>
    </w:p>
    <w:p w:rsidR="000144EB" w:rsidRPr="00CC41EB" w:rsidRDefault="000144EB" w:rsidP="0072768C">
      <w:pPr>
        <w:spacing w:line="360" w:lineRule="auto"/>
        <w:ind w:right="42"/>
        <w:jc w:val="both"/>
        <w:rPr>
          <w:sz w:val="18"/>
          <w:szCs w:val="18"/>
        </w:rPr>
      </w:pPr>
    </w:p>
    <w:sectPr w:rsidR="000144EB" w:rsidRPr="00CC41EB" w:rsidSect="000144EB">
      <w:type w:val="continuous"/>
      <w:pgSz w:w="11906" w:h="16838"/>
      <w:pgMar w:top="1417"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86" w:rsidRDefault="00295286">
      <w:r>
        <w:separator/>
      </w:r>
    </w:p>
  </w:endnote>
  <w:endnote w:type="continuationSeparator" w:id="1">
    <w:p w:rsidR="00295286" w:rsidRDefault="0029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3" w:rsidRDefault="00E03D99" w:rsidP="00D830C4">
    <w:pPr>
      <w:pStyle w:val="Footer"/>
      <w:framePr w:wrap="around" w:vAnchor="text" w:hAnchor="margin" w:xAlign="right" w:y="1"/>
      <w:rPr>
        <w:rStyle w:val="PageNumber"/>
      </w:rPr>
    </w:pPr>
    <w:r>
      <w:rPr>
        <w:rStyle w:val="PageNumber"/>
      </w:rPr>
      <w:fldChar w:fldCharType="begin"/>
    </w:r>
    <w:r w:rsidR="007B51E3">
      <w:rPr>
        <w:rStyle w:val="PageNumber"/>
      </w:rPr>
      <w:instrText xml:space="preserve">PAGE  </w:instrText>
    </w:r>
    <w:r>
      <w:rPr>
        <w:rStyle w:val="PageNumber"/>
      </w:rPr>
      <w:fldChar w:fldCharType="end"/>
    </w:r>
  </w:p>
  <w:p w:rsidR="007B51E3" w:rsidRDefault="007B51E3" w:rsidP="007B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3" w:rsidRDefault="00E03D99" w:rsidP="00D830C4">
    <w:pPr>
      <w:pStyle w:val="Footer"/>
      <w:framePr w:wrap="around" w:vAnchor="text" w:hAnchor="margin" w:xAlign="right" w:y="1"/>
      <w:rPr>
        <w:rStyle w:val="PageNumber"/>
      </w:rPr>
    </w:pPr>
    <w:r>
      <w:rPr>
        <w:rStyle w:val="PageNumber"/>
      </w:rPr>
      <w:fldChar w:fldCharType="begin"/>
    </w:r>
    <w:r w:rsidR="007B51E3">
      <w:rPr>
        <w:rStyle w:val="PageNumber"/>
      </w:rPr>
      <w:instrText xml:space="preserve">PAGE  </w:instrText>
    </w:r>
    <w:r>
      <w:rPr>
        <w:rStyle w:val="PageNumber"/>
      </w:rPr>
      <w:fldChar w:fldCharType="separate"/>
    </w:r>
    <w:r w:rsidR="001E5423">
      <w:rPr>
        <w:rStyle w:val="PageNumber"/>
        <w:noProof/>
      </w:rPr>
      <w:t>3</w:t>
    </w:r>
    <w:r>
      <w:rPr>
        <w:rStyle w:val="PageNumber"/>
      </w:rPr>
      <w:fldChar w:fldCharType="end"/>
    </w:r>
  </w:p>
  <w:p w:rsidR="007B51E3" w:rsidRPr="007B51E3" w:rsidRDefault="007B51E3" w:rsidP="007B51E3">
    <w:pPr>
      <w:pStyle w:val="Footer"/>
      <w:ind w:right="360"/>
      <w:jc w:val="center"/>
      <w:rPr>
        <w:b/>
        <w:i/>
      </w:rPr>
    </w:pPr>
    <w:r w:rsidRPr="007B51E3">
      <w:rPr>
        <w:b/>
        <w:i/>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86" w:rsidRDefault="00295286">
      <w:r>
        <w:separator/>
      </w:r>
    </w:p>
  </w:footnote>
  <w:footnote w:type="continuationSeparator" w:id="1">
    <w:p w:rsidR="00295286" w:rsidRDefault="00295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57ECC"/>
    <w:rsid w:val="0000014A"/>
    <w:rsid w:val="00003E7E"/>
    <w:rsid w:val="00004860"/>
    <w:rsid w:val="00004B78"/>
    <w:rsid w:val="0000704D"/>
    <w:rsid w:val="000117B7"/>
    <w:rsid w:val="00012977"/>
    <w:rsid w:val="000144EB"/>
    <w:rsid w:val="000212AC"/>
    <w:rsid w:val="000224B9"/>
    <w:rsid w:val="000233A7"/>
    <w:rsid w:val="00024559"/>
    <w:rsid w:val="00034090"/>
    <w:rsid w:val="00047B99"/>
    <w:rsid w:val="00047E9F"/>
    <w:rsid w:val="0005037D"/>
    <w:rsid w:val="00050453"/>
    <w:rsid w:val="00052D7A"/>
    <w:rsid w:val="00056118"/>
    <w:rsid w:val="00056B3E"/>
    <w:rsid w:val="00061732"/>
    <w:rsid w:val="00064636"/>
    <w:rsid w:val="0006518B"/>
    <w:rsid w:val="00065B3C"/>
    <w:rsid w:val="000669B9"/>
    <w:rsid w:val="000716CA"/>
    <w:rsid w:val="00074648"/>
    <w:rsid w:val="00077A9D"/>
    <w:rsid w:val="00077FF4"/>
    <w:rsid w:val="00082FE4"/>
    <w:rsid w:val="00085702"/>
    <w:rsid w:val="000925B3"/>
    <w:rsid w:val="00096B89"/>
    <w:rsid w:val="000A292B"/>
    <w:rsid w:val="000A687F"/>
    <w:rsid w:val="000A701D"/>
    <w:rsid w:val="000B2BF9"/>
    <w:rsid w:val="000B2E92"/>
    <w:rsid w:val="000B325E"/>
    <w:rsid w:val="000B41F3"/>
    <w:rsid w:val="000B50DE"/>
    <w:rsid w:val="000C5B7E"/>
    <w:rsid w:val="000D0C5A"/>
    <w:rsid w:val="000D17A2"/>
    <w:rsid w:val="000D1F14"/>
    <w:rsid w:val="000D2F51"/>
    <w:rsid w:val="000D5927"/>
    <w:rsid w:val="000E0AE4"/>
    <w:rsid w:val="000E10A3"/>
    <w:rsid w:val="000E1F75"/>
    <w:rsid w:val="000E4E83"/>
    <w:rsid w:val="000E5365"/>
    <w:rsid w:val="000E74B5"/>
    <w:rsid w:val="000E7CBB"/>
    <w:rsid w:val="000F2DB4"/>
    <w:rsid w:val="000F360E"/>
    <w:rsid w:val="000F396D"/>
    <w:rsid w:val="000F4941"/>
    <w:rsid w:val="001105B2"/>
    <w:rsid w:val="00111797"/>
    <w:rsid w:val="00114BC7"/>
    <w:rsid w:val="0012262F"/>
    <w:rsid w:val="00125E90"/>
    <w:rsid w:val="001260D7"/>
    <w:rsid w:val="0012778D"/>
    <w:rsid w:val="00132E7B"/>
    <w:rsid w:val="001331CB"/>
    <w:rsid w:val="00141B93"/>
    <w:rsid w:val="00143024"/>
    <w:rsid w:val="00143828"/>
    <w:rsid w:val="00151BCF"/>
    <w:rsid w:val="00154EA1"/>
    <w:rsid w:val="001553F2"/>
    <w:rsid w:val="0015676E"/>
    <w:rsid w:val="00157DC2"/>
    <w:rsid w:val="001609FA"/>
    <w:rsid w:val="00161689"/>
    <w:rsid w:val="00162629"/>
    <w:rsid w:val="001632B0"/>
    <w:rsid w:val="001653F9"/>
    <w:rsid w:val="00165C59"/>
    <w:rsid w:val="00165CB0"/>
    <w:rsid w:val="00166FE5"/>
    <w:rsid w:val="00167D69"/>
    <w:rsid w:val="00170CA9"/>
    <w:rsid w:val="00171424"/>
    <w:rsid w:val="00172263"/>
    <w:rsid w:val="00177FE3"/>
    <w:rsid w:val="00181B5A"/>
    <w:rsid w:val="00183507"/>
    <w:rsid w:val="001938A7"/>
    <w:rsid w:val="0019538C"/>
    <w:rsid w:val="00197ACB"/>
    <w:rsid w:val="001A2051"/>
    <w:rsid w:val="001A2B3D"/>
    <w:rsid w:val="001A528A"/>
    <w:rsid w:val="001B0683"/>
    <w:rsid w:val="001B30E0"/>
    <w:rsid w:val="001B34B5"/>
    <w:rsid w:val="001B3B49"/>
    <w:rsid w:val="001B6AFA"/>
    <w:rsid w:val="001D09B1"/>
    <w:rsid w:val="001D1F1B"/>
    <w:rsid w:val="001E0274"/>
    <w:rsid w:val="001E4BF5"/>
    <w:rsid w:val="001E5423"/>
    <w:rsid w:val="001E739D"/>
    <w:rsid w:val="001E7720"/>
    <w:rsid w:val="001F2761"/>
    <w:rsid w:val="001F4CFB"/>
    <w:rsid w:val="001F7144"/>
    <w:rsid w:val="001F71A5"/>
    <w:rsid w:val="001F7216"/>
    <w:rsid w:val="001F775A"/>
    <w:rsid w:val="00200B14"/>
    <w:rsid w:val="0020167B"/>
    <w:rsid w:val="00204364"/>
    <w:rsid w:val="00206291"/>
    <w:rsid w:val="00207185"/>
    <w:rsid w:val="002176C5"/>
    <w:rsid w:val="00217D35"/>
    <w:rsid w:val="00223A5B"/>
    <w:rsid w:val="002242A1"/>
    <w:rsid w:val="00224908"/>
    <w:rsid w:val="00231E92"/>
    <w:rsid w:val="0023312F"/>
    <w:rsid w:val="00245B1F"/>
    <w:rsid w:val="00251E82"/>
    <w:rsid w:val="002569EA"/>
    <w:rsid w:val="00262020"/>
    <w:rsid w:val="002670FE"/>
    <w:rsid w:val="00267EB4"/>
    <w:rsid w:val="00273E62"/>
    <w:rsid w:val="00277E58"/>
    <w:rsid w:val="002816C6"/>
    <w:rsid w:val="00291C79"/>
    <w:rsid w:val="00295286"/>
    <w:rsid w:val="00297712"/>
    <w:rsid w:val="002A66ED"/>
    <w:rsid w:val="002B3644"/>
    <w:rsid w:val="002C2DA3"/>
    <w:rsid w:val="002C4200"/>
    <w:rsid w:val="002C49EC"/>
    <w:rsid w:val="002C5F2D"/>
    <w:rsid w:val="002D2F1A"/>
    <w:rsid w:val="002D3C8B"/>
    <w:rsid w:val="002D4158"/>
    <w:rsid w:val="002E1EA4"/>
    <w:rsid w:val="002E6E82"/>
    <w:rsid w:val="002E7860"/>
    <w:rsid w:val="002F0024"/>
    <w:rsid w:val="002F4648"/>
    <w:rsid w:val="002F5134"/>
    <w:rsid w:val="002F5C24"/>
    <w:rsid w:val="002F61A9"/>
    <w:rsid w:val="00301371"/>
    <w:rsid w:val="00302A2B"/>
    <w:rsid w:val="00303A3C"/>
    <w:rsid w:val="00304A27"/>
    <w:rsid w:val="003051E6"/>
    <w:rsid w:val="0031043B"/>
    <w:rsid w:val="003118F7"/>
    <w:rsid w:val="00312DB8"/>
    <w:rsid w:val="003142BA"/>
    <w:rsid w:val="00316CE9"/>
    <w:rsid w:val="00316DB4"/>
    <w:rsid w:val="003223B0"/>
    <w:rsid w:val="00323169"/>
    <w:rsid w:val="00323CA6"/>
    <w:rsid w:val="00324A91"/>
    <w:rsid w:val="003269F7"/>
    <w:rsid w:val="00331277"/>
    <w:rsid w:val="00332541"/>
    <w:rsid w:val="00332DBD"/>
    <w:rsid w:val="00333B98"/>
    <w:rsid w:val="00337AE5"/>
    <w:rsid w:val="00341195"/>
    <w:rsid w:val="0034251A"/>
    <w:rsid w:val="0034543C"/>
    <w:rsid w:val="003466B0"/>
    <w:rsid w:val="0035343B"/>
    <w:rsid w:val="003545A8"/>
    <w:rsid w:val="003552A4"/>
    <w:rsid w:val="003555B2"/>
    <w:rsid w:val="00356020"/>
    <w:rsid w:val="00357ECC"/>
    <w:rsid w:val="00362436"/>
    <w:rsid w:val="00371440"/>
    <w:rsid w:val="0037492C"/>
    <w:rsid w:val="00374C5F"/>
    <w:rsid w:val="00375126"/>
    <w:rsid w:val="00376AC1"/>
    <w:rsid w:val="0038488E"/>
    <w:rsid w:val="00385F45"/>
    <w:rsid w:val="00390136"/>
    <w:rsid w:val="00395F95"/>
    <w:rsid w:val="00396CE9"/>
    <w:rsid w:val="00397518"/>
    <w:rsid w:val="003A2B60"/>
    <w:rsid w:val="003A2C52"/>
    <w:rsid w:val="003A31B2"/>
    <w:rsid w:val="003A3575"/>
    <w:rsid w:val="003A3A61"/>
    <w:rsid w:val="003B00C3"/>
    <w:rsid w:val="003B0F7E"/>
    <w:rsid w:val="003B199A"/>
    <w:rsid w:val="003B1BE8"/>
    <w:rsid w:val="003B2FC4"/>
    <w:rsid w:val="003B472B"/>
    <w:rsid w:val="003B5209"/>
    <w:rsid w:val="003C3188"/>
    <w:rsid w:val="003C640D"/>
    <w:rsid w:val="003C6C41"/>
    <w:rsid w:val="003D4DF7"/>
    <w:rsid w:val="003D7D0B"/>
    <w:rsid w:val="003D7E7F"/>
    <w:rsid w:val="003F1E42"/>
    <w:rsid w:val="003F2642"/>
    <w:rsid w:val="003F503B"/>
    <w:rsid w:val="003F7185"/>
    <w:rsid w:val="00400EDE"/>
    <w:rsid w:val="00402158"/>
    <w:rsid w:val="004074ED"/>
    <w:rsid w:val="00414443"/>
    <w:rsid w:val="00417568"/>
    <w:rsid w:val="00421D0B"/>
    <w:rsid w:val="004229DE"/>
    <w:rsid w:val="004239AE"/>
    <w:rsid w:val="00423E8F"/>
    <w:rsid w:val="004251B6"/>
    <w:rsid w:val="004259B8"/>
    <w:rsid w:val="00432F82"/>
    <w:rsid w:val="004354E5"/>
    <w:rsid w:val="00435FF5"/>
    <w:rsid w:val="004441AD"/>
    <w:rsid w:val="00445AE4"/>
    <w:rsid w:val="004466EA"/>
    <w:rsid w:val="00453D77"/>
    <w:rsid w:val="00454965"/>
    <w:rsid w:val="00461612"/>
    <w:rsid w:val="0046178B"/>
    <w:rsid w:val="00462314"/>
    <w:rsid w:val="0046362C"/>
    <w:rsid w:val="00463BBF"/>
    <w:rsid w:val="00474D75"/>
    <w:rsid w:val="004814F0"/>
    <w:rsid w:val="00482771"/>
    <w:rsid w:val="00484222"/>
    <w:rsid w:val="0049282C"/>
    <w:rsid w:val="004944B1"/>
    <w:rsid w:val="004A4E4F"/>
    <w:rsid w:val="004A7FE6"/>
    <w:rsid w:val="004B3F80"/>
    <w:rsid w:val="004C0A8D"/>
    <w:rsid w:val="004C25F6"/>
    <w:rsid w:val="004D100D"/>
    <w:rsid w:val="004D3F5D"/>
    <w:rsid w:val="004D67C5"/>
    <w:rsid w:val="004D7E65"/>
    <w:rsid w:val="004E00D0"/>
    <w:rsid w:val="004E07DC"/>
    <w:rsid w:val="004E0851"/>
    <w:rsid w:val="00505141"/>
    <w:rsid w:val="005066A2"/>
    <w:rsid w:val="00506CD9"/>
    <w:rsid w:val="00511EF3"/>
    <w:rsid w:val="00512AE9"/>
    <w:rsid w:val="00513FBF"/>
    <w:rsid w:val="0051750C"/>
    <w:rsid w:val="00522ED0"/>
    <w:rsid w:val="00523C58"/>
    <w:rsid w:val="0052557E"/>
    <w:rsid w:val="00526CC9"/>
    <w:rsid w:val="005310F8"/>
    <w:rsid w:val="00535BAD"/>
    <w:rsid w:val="00536B3B"/>
    <w:rsid w:val="005435C8"/>
    <w:rsid w:val="00543E56"/>
    <w:rsid w:val="005470EC"/>
    <w:rsid w:val="00556328"/>
    <w:rsid w:val="00563399"/>
    <w:rsid w:val="00571282"/>
    <w:rsid w:val="00573C3B"/>
    <w:rsid w:val="0058722C"/>
    <w:rsid w:val="0058799A"/>
    <w:rsid w:val="00587F62"/>
    <w:rsid w:val="00593B80"/>
    <w:rsid w:val="005A01AF"/>
    <w:rsid w:val="005A06D3"/>
    <w:rsid w:val="005A0AF8"/>
    <w:rsid w:val="005A2B2E"/>
    <w:rsid w:val="005B5D93"/>
    <w:rsid w:val="005C28BC"/>
    <w:rsid w:val="005C4EA4"/>
    <w:rsid w:val="005D0287"/>
    <w:rsid w:val="005D39F3"/>
    <w:rsid w:val="005D7E62"/>
    <w:rsid w:val="005E13DF"/>
    <w:rsid w:val="005E2983"/>
    <w:rsid w:val="005E3F6C"/>
    <w:rsid w:val="005F2063"/>
    <w:rsid w:val="005F2279"/>
    <w:rsid w:val="005F2A5B"/>
    <w:rsid w:val="005F31BE"/>
    <w:rsid w:val="005F700B"/>
    <w:rsid w:val="006015A3"/>
    <w:rsid w:val="00602EB0"/>
    <w:rsid w:val="00603C6D"/>
    <w:rsid w:val="006079B9"/>
    <w:rsid w:val="00607DFC"/>
    <w:rsid w:val="00613A11"/>
    <w:rsid w:val="00613B72"/>
    <w:rsid w:val="0062291A"/>
    <w:rsid w:val="00623B31"/>
    <w:rsid w:val="0062575D"/>
    <w:rsid w:val="0063164E"/>
    <w:rsid w:val="00637EF4"/>
    <w:rsid w:val="0064166F"/>
    <w:rsid w:val="00643C4C"/>
    <w:rsid w:val="00647676"/>
    <w:rsid w:val="006502E3"/>
    <w:rsid w:val="0066619C"/>
    <w:rsid w:val="006713C0"/>
    <w:rsid w:val="006717CE"/>
    <w:rsid w:val="00676D51"/>
    <w:rsid w:val="006836A7"/>
    <w:rsid w:val="00683A24"/>
    <w:rsid w:val="00691D96"/>
    <w:rsid w:val="00693B96"/>
    <w:rsid w:val="00695F24"/>
    <w:rsid w:val="0069776E"/>
    <w:rsid w:val="006A507F"/>
    <w:rsid w:val="006A53AA"/>
    <w:rsid w:val="006A7193"/>
    <w:rsid w:val="006B08B4"/>
    <w:rsid w:val="006B12C5"/>
    <w:rsid w:val="006B2978"/>
    <w:rsid w:val="006B423D"/>
    <w:rsid w:val="006C2AB7"/>
    <w:rsid w:val="006C6C6F"/>
    <w:rsid w:val="006C74FB"/>
    <w:rsid w:val="006D6233"/>
    <w:rsid w:val="006E0C79"/>
    <w:rsid w:val="006E3384"/>
    <w:rsid w:val="006E480B"/>
    <w:rsid w:val="006F1A82"/>
    <w:rsid w:val="006F2049"/>
    <w:rsid w:val="006F33D4"/>
    <w:rsid w:val="006F7FE6"/>
    <w:rsid w:val="00701A0C"/>
    <w:rsid w:val="007067F4"/>
    <w:rsid w:val="007103A2"/>
    <w:rsid w:val="00716027"/>
    <w:rsid w:val="007168FE"/>
    <w:rsid w:val="007169B6"/>
    <w:rsid w:val="0072768C"/>
    <w:rsid w:val="00734E7B"/>
    <w:rsid w:val="00745E22"/>
    <w:rsid w:val="0075074A"/>
    <w:rsid w:val="007522D9"/>
    <w:rsid w:val="00752330"/>
    <w:rsid w:val="00753469"/>
    <w:rsid w:val="0075405B"/>
    <w:rsid w:val="0075696F"/>
    <w:rsid w:val="007633AA"/>
    <w:rsid w:val="00767D6E"/>
    <w:rsid w:val="00770580"/>
    <w:rsid w:val="00783C9A"/>
    <w:rsid w:val="00784D3D"/>
    <w:rsid w:val="00797B31"/>
    <w:rsid w:val="007A311A"/>
    <w:rsid w:val="007A35F3"/>
    <w:rsid w:val="007A36DD"/>
    <w:rsid w:val="007A46AB"/>
    <w:rsid w:val="007A69DC"/>
    <w:rsid w:val="007B51E3"/>
    <w:rsid w:val="007C3C2B"/>
    <w:rsid w:val="007C3C78"/>
    <w:rsid w:val="007D02A6"/>
    <w:rsid w:val="007D3176"/>
    <w:rsid w:val="007D5551"/>
    <w:rsid w:val="007D745B"/>
    <w:rsid w:val="007E10C4"/>
    <w:rsid w:val="007E182F"/>
    <w:rsid w:val="007E5E9A"/>
    <w:rsid w:val="007E6A0D"/>
    <w:rsid w:val="007F1E8F"/>
    <w:rsid w:val="007F50E5"/>
    <w:rsid w:val="00807D3E"/>
    <w:rsid w:val="00817438"/>
    <w:rsid w:val="00820F9B"/>
    <w:rsid w:val="00821B78"/>
    <w:rsid w:val="00822C11"/>
    <w:rsid w:val="00825F84"/>
    <w:rsid w:val="0082670B"/>
    <w:rsid w:val="00826C7D"/>
    <w:rsid w:val="00826E1D"/>
    <w:rsid w:val="00830339"/>
    <w:rsid w:val="008332DD"/>
    <w:rsid w:val="00840056"/>
    <w:rsid w:val="0084320B"/>
    <w:rsid w:val="008432FC"/>
    <w:rsid w:val="008446FE"/>
    <w:rsid w:val="00856509"/>
    <w:rsid w:val="00860D72"/>
    <w:rsid w:val="00860E25"/>
    <w:rsid w:val="00862B92"/>
    <w:rsid w:val="00864323"/>
    <w:rsid w:val="008651A8"/>
    <w:rsid w:val="00885634"/>
    <w:rsid w:val="00885D0C"/>
    <w:rsid w:val="00892423"/>
    <w:rsid w:val="00896E09"/>
    <w:rsid w:val="008A0F64"/>
    <w:rsid w:val="008A34AA"/>
    <w:rsid w:val="008A38AB"/>
    <w:rsid w:val="008B0C8D"/>
    <w:rsid w:val="008B20AA"/>
    <w:rsid w:val="008B372B"/>
    <w:rsid w:val="008C17F4"/>
    <w:rsid w:val="008C2D77"/>
    <w:rsid w:val="008C6252"/>
    <w:rsid w:val="008C6E50"/>
    <w:rsid w:val="008D3976"/>
    <w:rsid w:val="008E63CB"/>
    <w:rsid w:val="008F13ED"/>
    <w:rsid w:val="008F4166"/>
    <w:rsid w:val="008F6889"/>
    <w:rsid w:val="00903097"/>
    <w:rsid w:val="00905111"/>
    <w:rsid w:val="00906149"/>
    <w:rsid w:val="00910940"/>
    <w:rsid w:val="009125B5"/>
    <w:rsid w:val="00914DE2"/>
    <w:rsid w:val="009158BC"/>
    <w:rsid w:val="00916619"/>
    <w:rsid w:val="00922C21"/>
    <w:rsid w:val="00923AE7"/>
    <w:rsid w:val="0092546B"/>
    <w:rsid w:val="009317FD"/>
    <w:rsid w:val="00934BE6"/>
    <w:rsid w:val="00936426"/>
    <w:rsid w:val="00947DB1"/>
    <w:rsid w:val="00966E7C"/>
    <w:rsid w:val="00971D26"/>
    <w:rsid w:val="00973503"/>
    <w:rsid w:val="0097445D"/>
    <w:rsid w:val="009805A1"/>
    <w:rsid w:val="00985A04"/>
    <w:rsid w:val="00985C16"/>
    <w:rsid w:val="00987648"/>
    <w:rsid w:val="00990455"/>
    <w:rsid w:val="00995F40"/>
    <w:rsid w:val="009A1DF2"/>
    <w:rsid w:val="009A56AA"/>
    <w:rsid w:val="009A6149"/>
    <w:rsid w:val="009B2429"/>
    <w:rsid w:val="009B2569"/>
    <w:rsid w:val="009B3130"/>
    <w:rsid w:val="009B43D6"/>
    <w:rsid w:val="009C1700"/>
    <w:rsid w:val="009C5B58"/>
    <w:rsid w:val="009D1323"/>
    <w:rsid w:val="009D24A5"/>
    <w:rsid w:val="009D3B55"/>
    <w:rsid w:val="009D42E8"/>
    <w:rsid w:val="009E2A57"/>
    <w:rsid w:val="009F0111"/>
    <w:rsid w:val="009F0B71"/>
    <w:rsid w:val="009F44C0"/>
    <w:rsid w:val="009F48FB"/>
    <w:rsid w:val="009F5D65"/>
    <w:rsid w:val="00A005E9"/>
    <w:rsid w:val="00A0089E"/>
    <w:rsid w:val="00A0243A"/>
    <w:rsid w:val="00A05AB1"/>
    <w:rsid w:val="00A05DEF"/>
    <w:rsid w:val="00A06C55"/>
    <w:rsid w:val="00A0768E"/>
    <w:rsid w:val="00A11474"/>
    <w:rsid w:val="00A127F7"/>
    <w:rsid w:val="00A15634"/>
    <w:rsid w:val="00A158E0"/>
    <w:rsid w:val="00A17B41"/>
    <w:rsid w:val="00A208D0"/>
    <w:rsid w:val="00A21872"/>
    <w:rsid w:val="00A24179"/>
    <w:rsid w:val="00A24957"/>
    <w:rsid w:val="00A31CEE"/>
    <w:rsid w:val="00A35FDD"/>
    <w:rsid w:val="00A42300"/>
    <w:rsid w:val="00A43507"/>
    <w:rsid w:val="00A52995"/>
    <w:rsid w:val="00A5424F"/>
    <w:rsid w:val="00A56C6E"/>
    <w:rsid w:val="00A61240"/>
    <w:rsid w:val="00A61A84"/>
    <w:rsid w:val="00A648F9"/>
    <w:rsid w:val="00A656AC"/>
    <w:rsid w:val="00A662DE"/>
    <w:rsid w:val="00A67A86"/>
    <w:rsid w:val="00A67D34"/>
    <w:rsid w:val="00A71B18"/>
    <w:rsid w:val="00A722FD"/>
    <w:rsid w:val="00A737F4"/>
    <w:rsid w:val="00A73F6B"/>
    <w:rsid w:val="00A759A9"/>
    <w:rsid w:val="00A75A46"/>
    <w:rsid w:val="00A82A89"/>
    <w:rsid w:val="00A84CEC"/>
    <w:rsid w:val="00A85028"/>
    <w:rsid w:val="00A86049"/>
    <w:rsid w:val="00A921D3"/>
    <w:rsid w:val="00A946B4"/>
    <w:rsid w:val="00A94A4A"/>
    <w:rsid w:val="00A95141"/>
    <w:rsid w:val="00A9533A"/>
    <w:rsid w:val="00A95966"/>
    <w:rsid w:val="00A9596F"/>
    <w:rsid w:val="00A95AFE"/>
    <w:rsid w:val="00AA2CBB"/>
    <w:rsid w:val="00AB039C"/>
    <w:rsid w:val="00AB1830"/>
    <w:rsid w:val="00AB3495"/>
    <w:rsid w:val="00AB5A56"/>
    <w:rsid w:val="00AC042A"/>
    <w:rsid w:val="00AC1F06"/>
    <w:rsid w:val="00AC35DA"/>
    <w:rsid w:val="00AC3BB2"/>
    <w:rsid w:val="00AC6123"/>
    <w:rsid w:val="00AD261F"/>
    <w:rsid w:val="00AD3B9A"/>
    <w:rsid w:val="00AF0A2F"/>
    <w:rsid w:val="00AF2D7A"/>
    <w:rsid w:val="00AF34E9"/>
    <w:rsid w:val="00AF418F"/>
    <w:rsid w:val="00AF501D"/>
    <w:rsid w:val="00B03004"/>
    <w:rsid w:val="00B049DA"/>
    <w:rsid w:val="00B14F53"/>
    <w:rsid w:val="00B169C6"/>
    <w:rsid w:val="00B17F4D"/>
    <w:rsid w:val="00B20A56"/>
    <w:rsid w:val="00B22E31"/>
    <w:rsid w:val="00B25C94"/>
    <w:rsid w:val="00B260EF"/>
    <w:rsid w:val="00B33E3E"/>
    <w:rsid w:val="00B377EE"/>
    <w:rsid w:val="00B40A26"/>
    <w:rsid w:val="00B41700"/>
    <w:rsid w:val="00B503A1"/>
    <w:rsid w:val="00B546A7"/>
    <w:rsid w:val="00B63DCD"/>
    <w:rsid w:val="00B66C47"/>
    <w:rsid w:val="00B678AE"/>
    <w:rsid w:val="00B734A4"/>
    <w:rsid w:val="00B7373D"/>
    <w:rsid w:val="00B7481B"/>
    <w:rsid w:val="00B7575B"/>
    <w:rsid w:val="00B75E88"/>
    <w:rsid w:val="00B76583"/>
    <w:rsid w:val="00B818D8"/>
    <w:rsid w:val="00B8309A"/>
    <w:rsid w:val="00B8531E"/>
    <w:rsid w:val="00B85CE5"/>
    <w:rsid w:val="00B90BA8"/>
    <w:rsid w:val="00B95352"/>
    <w:rsid w:val="00B96EF2"/>
    <w:rsid w:val="00BA025C"/>
    <w:rsid w:val="00BA05C3"/>
    <w:rsid w:val="00BA3190"/>
    <w:rsid w:val="00BA5D76"/>
    <w:rsid w:val="00BA7AE8"/>
    <w:rsid w:val="00BB0F72"/>
    <w:rsid w:val="00BC30A4"/>
    <w:rsid w:val="00BD0A78"/>
    <w:rsid w:val="00BD1516"/>
    <w:rsid w:val="00BD56EA"/>
    <w:rsid w:val="00BD571A"/>
    <w:rsid w:val="00BD63F8"/>
    <w:rsid w:val="00BD6CAF"/>
    <w:rsid w:val="00BE153E"/>
    <w:rsid w:val="00BE15F2"/>
    <w:rsid w:val="00BE505A"/>
    <w:rsid w:val="00BE62AE"/>
    <w:rsid w:val="00BF1AF8"/>
    <w:rsid w:val="00BF236B"/>
    <w:rsid w:val="00BF3950"/>
    <w:rsid w:val="00BF446B"/>
    <w:rsid w:val="00BF4FCC"/>
    <w:rsid w:val="00BF79CD"/>
    <w:rsid w:val="00C01643"/>
    <w:rsid w:val="00C144C8"/>
    <w:rsid w:val="00C15A9A"/>
    <w:rsid w:val="00C16CFB"/>
    <w:rsid w:val="00C2241D"/>
    <w:rsid w:val="00C34369"/>
    <w:rsid w:val="00C37220"/>
    <w:rsid w:val="00C37AB3"/>
    <w:rsid w:val="00C41CA4"/>
    <w:rsid w:val="00C43F2E"/>
    <w:rsid w:val="00C45FC0"/>
    <w:rsid w:val="00C466DC"/>
    <w:rsid w:val="00C54FB9"/>
    <w:rsid w:val="00C602D7"/>
    <w:rsid w:val="00C61305"/>
    <w:rsid w:val="00C62404"/>
    <w:rsid w:val="00C64881"/>
    <w:rsid w:val="00C651F0"/>
    <w:rsid w:val="00C656AE"/>
    <w:rsid w:val="00C66780"/>
    <w:rsid w:val="00C674EC"/>
    <w:rsid w:val="00C7136A"/>
    <w:rsid w:val="00C71602"/>
    <w:rsid w:val="00C71A7C"/>
    <w:rsid w:val="00C72130"/>
    <w:rsid w:val="00C74078"/>
    <w:rsid w:val="00C76273"/>
    <w:rsid w:val="00C76560"/>
    <w:rsid w:val="00C86DB6"/>
    <w:rsid w:val="00C9025C"/>
    <w:rsid w:val="00C91E59"/>
    <w:rsid w:val="00C97E2D"/>
    <w:rsid w:val="00CA1407"/>
    <w:rsid w:val="00CA5C65"/>
    <w:rsid w:val="00CA6DDE"/>
    <w:rsid w:val="00CA7888"/>
    <w:rsid w:val="00CB1C91"/>
    <w:rsid w:val="00CB630B"/>
    <w:rsid w:val="00CB6878"/>
    <w:rsid w:val="00CC26C6"/>
    <w:rsid w:val="00CC41EB"/>
    <w:rsid w:val="00CC6F25"/>
    <w:rsid w:val="00CC706E"/>
    <w:rsid w:val="00CD10A1"/>
    <w:rsid w:val="00CD11E2"/>
    <w:rsid w:val="00CD3014"/>
    <w:rsid w:val="00CD3056"/>
    <w:rsid w:val="00CD7FBD"/>
    <w:rsid w:val="00CE14FE"/>
    <w:rsid w:val="00CE2137"/>
    <w:rsid w:val="00CE4C78"/>
    <w:rsid w:val="00CF0733"/>
    <w:rsid w:val="00CF5055"/>
    <w:rsid w:val="00CF715C"/>
    <w:rsid w:val="00CF7322"/>
    <w:rsid w:val="00D00F45"/>
    <w:rsid w:val="00D00FC4"/>
    <w:rsid w:val="00D04A8E"/>
    <w:rsid w:val="00D0799D"/>
    <w:rsid w:val="00D1089B"/>
    <w:rsid w:val="00D126AA"/>
    <w:rsid w:val="00D13D16"/>
    <w:rsid w:val="00D15819"/>
    <w:rsid w:val="00D16F90"/>
    <w:rsid w:val="00D26305"/>
    <w:rsid w:val="00D312D4"/>
    <w:rsid w:val="00D3157E"/>
    <w:rsid w:val="00D33A36"/>
    <w:rsid w:val="00D4227C"/>
    <w:rsid w:val="00D43E2F"/>
    <w:rsid w:val="00D535DB"/>
    <w:rsid w:val="00D55853"/>
    <w:rsid w:val="00D56E97"/>
    <w:rsid w:val="00D570F9"/>
    <w:rsid w:val="00D65B9A"/>
    <w:rsid w:val="00D674E0"/>
    <w:rsid w:val="00D67D51"/>
    <w:rsid w:val="00D70B42"/>
    <w:rsid w:val="00D71C2B"/>
    <w:rsid w:val="00D7792C"/>
    <w:rsid w:val="00D830C4"/>
    <w:rsid w:val="00D837A8"/>
    <w:rsid w:val="00D84C4A"/>
    <w:rsid w:val="00D91A6A"/>
    <w:rsid w:val="00D93383"/>
    <w:rsid w:val="00D9715E"/>
    <w:rsid w:val="00DA52F4"/>
    <w:rsid w:val="00DB00CB"/>
    <w:rsid w:val="00DB1E70"/>
    <w:rsid w:val="00DB3357"/>
    <w:rsid w:val="00DB6652"/>
    <w:rsid w:val="00DC0405"/>
    <w:rsid w:val="00DC091F"/>
    <w:rsid w:val="00DC1D93"/>
    <w:rsid w:val="00DC549D"/>
    <w:rsid w:val="00DD0701"/>
    <w:rsid w:val="00DD473D"/>
    <w:rsid w:val="00DD531F"/>
    <w:rsid w:val="00DD6811"/>
    <w:rsid w:val="00DE24A1"/>
    <w:rsid w:val="00DF3B71"/>
    <w:rsid w:val="00DF4B59"/>
    <w:rsid w:val="00DF5714"/>
    <w:rsid w:val="00E00A2B"/>
    <w:rsid w:val="00E027F3"/>
    <w:rsid w:val="00E0294F"/>
    <w:rsid w:val="00E032DD"/>
    <w:rsid w:val="00E03533"/>
    <w:rsid w:val="00E0362D"/>
    <w:rsid w:val="00E03D99"/>
    <w:rsid w:val="00E10712"/>
    <w:rsid w:val="00E238E9"/>
    <w:rsid w:val="00E23E58"/>
    <w:rsid w:val="00E24026"/>
    <w:rsid w:val="00E2577B"/>
    <w:rsid w:val="00E33043"/>
    <w:rsid w:val="00E46555"/>
    <w:rsid w:val="00E47905"/>
    <w:rsid w:val="00E5304A"/>
    <w:rsid w:val="00E5462B"/>
    <w:rsid w:val="00E55275"/>
    <w:rsid w:val="00E60FC8"/>
    <w:rsid w:val="00E651A3"/>
    <w:rsid w:val="00E651DE"/>
    <w:rsid w:val="00E666C1"/>
    <w:rsid w:val="00E702BA"/>
    <w:rsid w:val="00E70A5E"/>
    <w:rsid w:val="00E72307"/>
    <w:rsid w:val="00E74B0A"/>
    <w:rsid w:val="00E7627C"/>
    <w:rsid w:val="00E817A2"/>
    <w:rsid w:val="00E82B03"/>
    <w:rsid w:val="00E84728"/>
    <w:rsid w:val="00E8610D"/>
    <w:rsid w:val="00E9147A"/>
    <w:rsid w:val="00E9440E"/>
    <w:rsid w:val="00E94945"/>
    <w:rsid w:val="00E96583"/>
    <w:rsid w:val="00EB4482"/>
    <w:rsid w:val="00EB49A5"/>
    <w:rsid w:val="00EB5496"/>
    <w:rsid w:val="00EB5C55"/>
    <w:rsid w:val="00EB5E9B"/>
    <w:rsid w:val="00EB7CE3"/>
    <w:rsid w:val="00EC4125"/>
    <w:rsid w:val="00EC4648"/>
    <w:rsid w:val="00ED17DF"/>
    <w:rsid w:val="00ED2B78"/>
    <w:rsid w:val="00ED64F0"/>
    <w:rsid w:val="00ED7A5F"/>
    <w:rsid w:val="00EE17CA"/>
    <w:rsid w:val="00EE1D73"/>
    <w:rsid w:val="00EE22FB"/>
    <w:rsid w:val="00EE435F"/>
    <w:rsid w:val="00EF1FB2"/>
    <w:rsid w:val="00EF5035"/>
    <w:rsid w:val="00F062AF"/>
    <w:rsid w:val="00F06960"/>
    <w:rsid w:val="00F104FE"/>
    <w:rsid w:val="00F12CB3"/>
    <w:rsid w:val="00F12FF6"/>
    <w:rsid w:val="00F312EE"/>
    <w:rsid w:val="00F32802"/>
    <w:rsid w:val="00F437F0"/>
    <w:rsid w:val="00F47527"/>
    <w:rsid w:val="00F509C0"/>
    <w:rsid w:val="00F55025"/>
    <w:rsid w:val="00F557C3"/>
    <w:rsid w:val="00F56F34"/>
    <w:rsid w:val="00F6297C"/>
    <w:rsid w:val="00F65107"/>
    <w:rsid w:val="00F651A0"/>
    <w:rsid w:val="00F6557A"/>
    <w:rsid w:val="00F6592D"/>
    <w:rsid w:val="00F742C9"/>
    <w:rsid w:val="00F75BFF"/>
    <w:rsid w:val="00F837BB"/>
    <w:rsid w:val="00F83E3C"/>
    <w:rsid w:val="00F853BF"/>
    <w:rsid w:val="00F86020"/>
    <w:rsid w:val="00F97DA6"/>
    <w:rsid w:val="00FA01C6"/>
    <w:rsid w:val="00FA103F"/>
    <w:rsid w:val="00FA1735"/>
    <w:rsid w:val="00FB4B87"/>
    <w:rsid w:val="00FC0700"/>
    <w:rsid w:val="00FC2F6E"/>
    <w:rsid w:val="00FC36DC"/>
    <w:rsid w:val="00FC4DB4"/>
    <w:rsid w:val="00FC611D"/>
    <w:rsid w:val="00FC7EAB"/>
    <w:rsid w:val="00FD02FB"/>
    <w:rsid w:val="00FD213A"/>
    <w:rsid w:val="00FD37B4"/>
    <w:rsid w:val="00FD3AB3"/>
    <w:rsid w:val="00FE0BEA"/>
    <w:rsid w:val="00FF306B"/>
    <w:rsid w:val="00FF5CBB"/>
    <w:rsid w:val="00FF6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tr-TR"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0799D"/>
    <w:rPr>
      <w:sz w:val="20"/>
      <w:szCs w:val="20"/>
    </w:rPr>
  </w:style>
  <w:style w:type="character" w:styleId="FootnoteReference">
    <w:name w:val="footnote reference"/>
    <w:basedOn w:val="DefaultParagraphFont"/>
    <w:semiHidden/>
    <w:rsid w:val="00D0799D"/>
    <w:rPr>
      <w:vertAlign w:val="superscript"/>
    </w:rPr>
  </w:style>
  <w:style w:type="character" w:styleId="Hyperlink">
    <w:name w:val="Hyperlink"/>
    <w:basedOn w:val="DefaultParagraphFont"/>
    <w:rsid w:val="007522D9"/>
    <w:rPr>
      <w:color w:val="0000FF"/>
      <w:u w:val="single"/>
    </w:rPr>
  </w:style>
  <w:style w:type="paragraph" w:styleId="Footer">
    <w:name w:val="footer"/>
    <w:basedOn w:val="Normal"/>
    <w:rsid w:val="007B51E3"/>
    <w:pPr>
      <w:tabs>
        <w:tab w:val="center" w:pos="4536"/>
        <w:tab w:val="right" w:pos="9072"/>
      </w:tabs>
    </w:pPr>
  </w:style>
  <w:style w:type="character" w:styleId="PageNumber">
    <w:name w:val="page number"/>
    <w:basedOn w:val="DefaultParagraphFont"/>
    <w:rsid w:val="007B51E3"/>
  </w:style>
  <w:style w:type="paragraph" w:styleId="Header">
    <w:name w:val="header"/>
    <w:basedOn w:val="Normal"/>
    <w:rsid w:val="007B51E3"/>
    <w:pPr>
      <w:tabs>
        <w:tab w:val="center" w:pos="4536"/>
        <w:tab w:val="right" w:pos="9072"/>
      </w:tabs>
    </w:pPr>
  </w:style>
  <w:style w:type="paragraph" w:styleId="BalloonText">
    <w:name w:val="Balloon Text"/>
    <w:basedOn w:val="Normal"/>
    <w:semiHidden/>
    <w:rsid w:val="00526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382002">
      <w:bodyDiv w:val="1"/>
      <w:marLeft w:val="0"/>
      <w:marRight w:val="0"/>
      <w:marTop w:val="0"/>
      <w:marBottom w:val="0"/>
      <w:divBdr>
        <w:top w:val="none" w:sz="0" w:space="0" w:color="auto"/>
        <w:left w:val="none" w:sz="0" w:space="0" w:color="auto"/>
        <w:bottom w:val="none" w:sz="0" w:space="0" w:color="auto"/>
        <w:right w:val="none" w:sz="0" w:space="0" w:color="auto"/>
      </w:divBdr>
    </w:div>
    <w:div w:id="902717092">
      <w:bodyDiv w:val="1"/>
      <w:marLeft w:val="0"/>
      <w:marRight w:val="0"/>
      <w:marTop w:val="0"/>
      <w:marBottom w:val="0"/>
      <w:divBdr>
        <w:top w:val="none" w:sz="0" w:space="0" w:color="auto"/>
        <w:left w:val="none" w:sz="0" w:space="0" w:color="auto"/>
        <w:bottom w:val="none" w:sz="0" w:space="0" w:color="auto"/>
        <w:right w:val="none" w:sz="0" w:space="0" w:color="auto"/>
      </w:divBdr>
    </w:div>
    <w:div w:id="18415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is.soybilgen@bahcesehir.edu.tr"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mailto:zumrut.imamoglu@bahcesehir.edu.t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oş</vt:lpstr>
    </vt:vector>
  </TitlesOfParts>
  <Company>unv</Company>
  <LinksUpToDate>false</LinksUpToDate>
  <CharactersWithSpaces>7791</CharactersWithSpaces>
  <SharedDoc>false</SharedDoc>
  <HLinks>
    <vt:vector size="12" baseType="variant">
      <vt:variant>
        <vt:i4>1966119</vt:i4>
      </vt:variant>
      <vt:variant>
        <vt:i4>6</vt:i4>
      </vt:variant>
      <vt:variant>
        <vt:i4>0</vt:i4>
      </vt:variant>
      <vt:variant>
        <vt:i4>5</vt:i4>
      </vt:variant>
      <vt:variant>
        <vt:lpwstr>mailto:baris.soybilgen@bahcesehir.edu.tr</vt:lpwstr>
      </vt:variant>
      <vt:variant>
        <vt:lpwstr/>
      </vt:variant>
      <vt:variant>
        <vt:i4>4784253</vt:i4>
      </vt:variant>
      <vt:variant>
        <vt:i4>3</vt:i4>
      </vt:variant>
      <vt:variant>
        <vt:i4>0</vt:i4>
      </vt:variant>
      <vt:variant>
        <vt:i4>5</vt:i4>
      </vt:variant>
      <vt:variant>
        <vt:lpwstr>mailto:zumrut.imamoglu@bahcesehir.edu.tr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cp:lastModifiedBy>zumrut imamoglu</cp:lastModifiedBy>
  <cp:revision>16</cp:revision>
  <cp:lastPrinted>2012-07-10T12:28:00Z</cp:lastPrinted>
  <dcterms:created xsi:type="dcterms:W3CDTF">2012-07-11T07:59:00Z</dcterms:created>
  <dcterms:modified xsi:type="dcterms:W3CDTF">2012-07-11T10:44:00Z</dcterms:modified>
</cp:coreProperties>
</file>