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8B" w:rsidRDefault="002C405B" w:rsidP="001E4BF5">
      <w:pPr>
        <w:spacing w:line="360" w:lineRule="auto"/>
        <w:ind w:right="-319"/>
        <w:jc w:val="center"/>
        <w:outlineLvl w:val="0"/>
        <w:rPr>
          <w:rFonts w:ascii="Arial" w:hAnsi="Arial" w:cs="Arial"/>
          <w:b/>
          <w:bCs/>
          <w:sz w:val="32"/>
          <w:szCs w:val="32"/>
        </w:rPr>
      </w:pPr>
      <w:r>
        <w:rPr>
          <w:noProof/>
          <w:lang w:val="en-US" w:eastAsia="en-US"/>
        </w:rPr>
        <w:drawing>
          <wp:anchor distT="0" distB="0" distL="114300" distR="114300" simplePos="0" relativeHeight="251658240" behindDoc="1" locked="0" layoutInCell="1" allowOverlap="1">
            <wp:simplePos x="0" y="0"/>
            <wp:positionH relativeFrom="column">
              <wp:posOffset>-571500</wp:posOffset>
            </wp:positionH>
            <wp:positionV relativeFrom="paragraph">
              <wp:posOffset>-685800</wp:posOffset>
            </wp:positionV>
            <wp:extent cx="6858000" cy="1261745"/>
            <wp:effectExtent l="19050" t="0" r="0" b="0"/>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a:srcRect/>
                    <a:stretch>
                      <a:fillRect/>
                    </a:stretch>
                  </pic:blipFill>
                  <pic:spPr bwMode="auto">
                    <a:xfrm>
                      <a:off x="0" y="0"/>
                      <a:ext cx="6858000" cy="1261745"/>
                    </a:xfrm>
                    <a:prstGeom prst="rect">
                      <a:avLst/>
                    </a:prstGeom>
                    <a:noFill/>
                  </pic:spPr>
                </pic:pic>
              </a:graphicData>
            </a:graphic>
          </wp:anchor>
        </w:drawing>
      </w:r>
      <w:r w:rsidR="00F018CE" w:rsidRPr="00F018CE">
        <w:rPr>
          <w:noProof/>
        </w:rPr>
        <w:pict>
          <v:shapetype id="_x0000_t202" coordsize="21600,21600" o:spt="202" path="m,l,21600r21600,l21600,xe">
            <v:stroke joinstyle="miter"/>
            <v:path gradientshapeok="t" o:connecttype="rect"/>
          </v:shapetype>
          <v:shape id="_x0000_s1027" type="#_x0000_t202" style="position:absolute;left:0;text-align:left;margin-left:117pt;margin-top:-45pt;width:312.1pt;height:44.8pt;z-index:251659264;mso-wrap-distance-left:9.05pt;mso-wrap-distance-right:9.05pt;mso-position-horizontal-relative:text;mso-position-vertical-relative:text" stroked="f">
            <v:fill opacity="0" color2="black"/>
            <v:textbox style="mso-next-textbox:#_x0000_s1027" inset="0,0,0,0">
              <w:txbxContent>
                <w:p w:rsidR="009B7C8B" w:rsidRPr="00342E6B" w:rsidRDefault="009B7C8B" w:rsidP="00024559">
                  <w:pPr>
                    <w:pStyle w:val="Heading1"/>
                    <w:rPr>
                      <w:rFonts w:ascii="Times New Roman" w:hAnsi="Times New Roman" w:cs="Times New Roman"/>
                      <w:sz w:val="40"/>
                      <w:szCs w:val="40"/>
                    </w:rPr>
                  </w:pPr>
                  <w:r>
                    <w:rPr>
                      <w:rFonts w:ascii="Times New Roman" w:hAnsi="Times New Roman" w:cs="Times New Roman"/>
                      <w:sz w:val="40"/>
                      <w:szCs w:val="40"/>
                    </w:rPr>
                    <w:t>Ekonomik Görünüm ve Tahminler: Haziran 2013</w:t>
                  </w:r>
                </w:p>
                <w:p w:rsidR="009B7C8B" w:rsidRPr="00A75A46" w:rsidRDefault="009B7C8B" w:rsidP="00024559">
                  <w:pPr>
                    <w:pStyle w:val="Heading2"/>
                    <w:rPr>
                      <w:b w:val="0"/>
                      <w:bCs w:val="0"/>
                      <w:i w:val="0"/>
                      <w:iCs w:val="0"/>
                      <w:lang w:val="nl-NL"/>
                    </w:rPr>
                  </w:pPr>
                </w:p>
              </w:txbxContent>
            </v:textbox>
          </v:shape>
        </w:pict>
      </w:r>
    </w:p>
    <w:p w:rsidR="009B7C8B" w:rsidRDefault="00F018CE" w:rsidP="001E4BF5">
      <w:pPr>
        <w:spacing w:line="360" w:lineRule="auto"/>
        <w:ind w:right="-319"/>
        <w:jc w:val="center"/>
        <w:outlineLvl w:val="0"/>
        <w:rPr>
          <w:rFonts w:ascii="Arial" w:hAnsi="Arial" w:cs="Arial"/>
          <w:b/>
          <w:bCs/>
          <w:sz w:val="32"/>
          <w:szCs w:val="32"/>
        </w:rPr>
      </w:pPr>
      <w:r w:rsidRPr="00F018CE">
        <w:rPr>
          <w:noProof/>
        </w:rPr>
        <w:lastRenderedPageBreak/>
        <w:pict>
          <v:shape id="_x0000_s1028" type="#_x0000_t202" style="position:absolute;left:0;text-align:left;margin-left:158.3pt;margin-top:18pt;width:90.45pt;height:27.45pt;z-index:251660288;mso-wrap-distance-left:9.05pt;mso-wrap-distance-right:9.05pt" stroked="f">
            <v:fill opacity="0" color2="black"/>
            <v:textbox style="mso-next-textbox:#_x0000_s1028" inset="0,0,0,0">
              <w:txbxContent>
                <w:p w:rsidR="009B7C8B" w:rsidRPr="0015586B" w:rsidRDefault="009B7C8B" w:rsidP="00024559">
                  <w:pPr>
                    <w:pStyle w:val="Heading3"/>
                    <w:rPr>
                      <w:color w:val="FFFFFF"/>
                      <w:sz w:val="22"/>
                      <w:szCs w:val="22"/>
                      <w:lang w:val="tr-TR"/>
                    </w:rPr>
                  </w:pPr>
                  <w:r>
                    <w:rPr>
                      <w:color w:val="FFFFFF"/>
                      <w:sz w:val="22"/>
                      <w:szCs w:val="22"/>
                      <w:lang w:val="tr-TR"/>
                    </w:rPr>
                    <w:t xml:space="preserve">       14.06.2013</w:t>
                  </w:r>
                </w:p>
                <w:p w:rsidR="009B7C8B" w:rsidRDefault="009B7C8B" w:rsidP="00024559"/>
              </w:txbxContent>
            </v:textbox>
          </v:shape>
        </w:pict>
      </w:r>
    </w:p>
    <w:p w:rsidR="009B7C8B" w:rsidRDefault="009B7C8B" w:rsidP="001E4BF5">
      <w:pPr>
        <w:spacing w:line="360" w:lineRule="auto"/>
        <w:ind w:right="-319"/>
        <w:jc w:val="center"/>
        <w:outlineLvl w:val="0"/>
        <w:rPr>
          <w:rFonts w:ascii="Arial" w:hAnsi="Arial" w:cs="Arial"/>
          <w:b/>
          <w:bCs/>
          <w:sz w:val="32"/>
          <w:szCs w:val="32"/>
        </w:rPr>
        <w:sectPr w:rsidR="009B7C8B" w:rsidSect="00357ECC">
          <w:footerReference w:type="default" r:id="rId8"/>
          <w:pgSz w:w="11906" w:h="16838"/>
          <w:pgMar w:top="1417" w:right="1417" w:bottom="1417" w:left="1417" w:header="708" w:footer="708" w:gutter="0"/>
          <w:cols w:num="2" w:space="708" w:equalWidth="0">
            <w:col w:w="4182" w:space="708"/>
            <w:col w:w="4182"/>
          </w:cols>
          <w:docGrid w:linePitch="360"/>
        </w:sectPr>
      </w:pPr>
    </w:p>
    <w:p w:rsidR="009B7C8B" w:rsidRDefault="009B7C8B" w:rsidP="001E4BF5">
      <w:pPr>
        <w:spacing w:line="360" w:lineRule="auto"/>
        <w:ind w:right="-319"/>
        <w:outlineLvl w:val="0"/>
        <w:rPr>
          <w:rFonts w:ascii="Arial" w:hAnsi="Arial" w:cs="Arial"/>
          <w:b/>
          <w:bCs/>
          <w:sz w:val="32"/>
          <w:szCs w:val="32"/>
        </w:rPr>
      </w:pPr>
    </w:p>
    <w:p w:rsidR="009B7C8B" w:rsidRDefault="009B7C8B" w:rsidP="00EA5EA9">
      <w:pPr>
        <w:ind w:right="-317"/>
        <w:jc w:val="center"/>
        <w:outlineLvl w:val="0"/>
        <w:rPr>
          <w:rFonts w:ascii="Arial" w:hAnsi="Arial" w:cs="Arial"/>
          <w:b/>
          <w:bCs/>
          <w:caps/>
          <w:sz w:val="28"/>
          <w:szCs w:val="28"/>
        </w:rPr>
      </w:pPr>
      <w:r>
        <w:rPr>
          <w:rFonts w:ascii="Arial" w:hAnsi="Arial" w:cs="Arial"/>
          <w:b/>
          <w:bCs/>
          <w:caps/>
          <w:sz w:val="28"/>
          <w:szCs w:val="28"/>
        </w:rPr>
        <w:t>İkinci çeyrekte büyüme hızlanacak</w:t>
      </w:r>
    </w:p>
    <w:p w:rsidR="009B7C8B" w:rsidRPr="00D63675" w:rsidRDefault="009B7C8B" w:rsidP="00F83188">
      <w:pPr>
        <w:ind w:right="-317"/>
        <w:jc w:val="center"/>
        <w:outlineLvl w:val="0"/>
        <w:rPr>
          <w:rFonts w:ascii="Arial" w:hAnsi="Arial" w:cs="Arial"/>
          <w:b/>
          <w:bCs/>
          <w:caps/>
          <w:sz w:val="28"/>
          <w:szCs w:val="28"/>
        </w:rPr>
      </w:pPr>
    </w:p>
    <w:p w:rsidR="009B7C8B" w:rsidRPr="00D63675" w:rsidRDefault="009B7C8B" w:rsidP="00522063">
      <w:pPr>
        <w:ind w:right="-317"/>
        <w:jc w:val="center"/>
        <w:outlineLvl w:val="0"/>
        <w:rPr>
          <w:rFonts w:ascii="Arial" w:hAnsi="Arial" w:cs="Arial"/>
          <w:b/>
          <w:bCs/>
          <w:sz w:val="21"/>
          <w:szCs w:val="21"/>
          <w:vertAlign w:val="superscript"/>
        </w:rPr>
      </w:pPr>
      <w:r w:rsidRPr="00D63675">
        <w:rPr>
          <w:rFonts w:ascii="Arial" w:hAnsi="Arial" w:cs="Arial"/>
          <w:b/>
          <w:bCs/>
          <w:sz w:val="21"/>
          <w:szCs w:val="21"/>
        </w:rPr>
        <w:t>Zümrüt İmamoğlu* ve Barış Soybilgen</w:t>
      </w:r>
      <w:r w:rsidRPr="00D63675">
        <w:rPr>
          <w:rFonts w:ascii="Arial" w:hAnsi="Arial" w:cs="Arial"/>
          <w:b/>
          <w:bCs/>
          <w:sz w:val="21"/>
          <w:szCs w:val="21"/>
          <w:vertAlign w:val="superscript"/>
        </w:rPr>
        <w:t>†</w:t>
      </w:r>
    </w:p>
    <w:p w:rsidR="009B7C8B" w:rsidRDefault="009B7C8B" w:rsidP="00D837A8">
      <w:pPr>
        <w:spacing w:line="360" w:lineRule="auto"/>
        <w:ind w:right="-319"/>
        <w:jc w:val="center"/>
        <w:outlineLvl w:val="0"/>
        <w:rPr>
          <w:rFonts w:ascii="Arial" w:hAnsi="Arial" w:cs="Arial"/>
          <w:sz w:val="22"/>
          <w:szCs w:val="22"/>
          <w:vertAlign w:val="superscript"/>
        </w:rPr>
      </w:pPr>
    </w:p>
    <w:p w:rsidR="009B7C8B" w:rsidRPr="004A7FE6" w:rsidRDefault="009B7C8B" w:rsidP="00D837A8">
      <w:pPr>
        <w:spacing w:line="360" w:lineRule="auto"/>
        <w:ind w:right="-319"/>
        <w:jc w:val="center"/>
        <w:outlineLvl w:val="0"/>
        <w:rPr>
          <w:rFonts w:ascii="Arial" w:hAnsi="Arial" w:cs="Arial"/>
          <w:sz w:val="22"/>
          <w:szCs w:val="22"/>
          <w:vertAlign w:val="superscript"/>
        </w:rPr>
        <w:sectPr w:rsidR="009B7C8B" w:rsidRPr="004A7FE6" w:rsidSect="008651A8">
          <w:type w:val="continuous"/>
          <w:pgSz w:w="11906" w:h="16838"/>
          <w:pgMar w:top="1417" w:right="1417" w:bottom="1417" w:left="1417" w:header="708" w:footer="708" w:gutter="0"/>
          <w:cols w:space="708"/>
          <w:docGrid w:linePitch="360"/>
        </w:sectPr>
      </w:pPr>
    </w:p>
    <w:p w:rsidR="009B7C8B" w:rsidRDefault="009B7C8B" w:rsidP="00EA5EA9">
      <w:pPr>
        <w:spacing w:line="360" w:lineRule="auto"/>
        <w:ind w:left="-360" w:right="40"/>
        <w:jc w:val="both"/>
        <w:rPr>
          <w:sz w:val="22"/>
          <w:szCs w:val="22"/>
        </w:rPr>
      </w:pPr>
    </w:p>
    <w:p w:rsidR="009B7C8B" w:rsidRDefault="009B7C8B" w:rsidP="003634C2">
      <w:pPr>
        <w:spacing w:line="360" w:lineRule="auto"/>
        <w:ind w:left="-360" w:right="42" w:firstLine="360"/>
        <w:jc w:val="center"/>
        <w:rPr>
          <w:b/>
          <w:bCs/>
          <w:sz w:val="22"/>
          <w:szCs w:val="22"/>
        </w:rPr>
      </w:pPr>
      <w:r w:rsidRPr="004A7FE6">
        <w:rPr>
          <w:b/>
          <w:bCs/>
          <w:sz w:val="22"/>
          <w:szCs w:val="22"/>
        </w:rPr>
        <w:t>Yönetici Özeti</w:t>
      </w:r>
    </w:p>
    <w:p w:rsidR="009B7C8B" w:rsidRPr="00D97A66" w:rsidRDefault="009B7C8B" w:rsidP="003634C2">
      <w:pPr>
        <w:spacing w:line="360" w:lineRule="auto"/>
        <w:ind w:left="-360" w:right="42" w:firstLine="360"/>
        <w:jc w:val="center"/>
        <w:rPr>
          <w:b/>
          <w:bCs/>
          <w:sz w:val="14"/>
          <w:szCs w:val="14"/>
        </w:rPr>
      </w:pPr>
    </w:p>
    <w:p w:rsidR="009B7C8B" w:rsidRDefault="009B7C8B" w:rsidP="003634C2">
      <w:pPr>
        <w:spacing w:line="360" w:lineRule="auto"/>
        <w:ind w:left="-360" w:right="40"/>
        <w:jc w:val="both"/>
        <w:rPr>
          <w:sz w:val="22"/>
          <w:szCs w:val="22"/>
        </w:rPr>
      </w:pPr>
      <w:r>
        <w:rPr>
          <w:sz w:val="22"/>
          <w:szCs w:val="22"/>
        </w:rPr>
        <w:t xml:space="preserve">Mevsim ve takvim etkisinden arındırılmış Sanayi Üretim Endeksi (SÜE) Nisan ayında bir önceki aya göre yüzde 1,3 oranında arttı. İhracat miktar endeksi yüzde 3,9 oranında düşerken  ithalat miktar endeksi yüzde 9,7 oranında arttı. İlk çeyrekte olduğu gibi ikinci çeyreğin ilk verileri de ekonomide iç talebin arttığı, ihracatın zayıf görünümü koruduğu ve ithalat artışıyla net dış talebin katkısının negatif olarak devam ettiğini gösteriyor. Betam’ın 2013’ün ikinci çeyreği için ilk büyüme tahmini çeyrekten çeyreğe yüzde 2. Buna paralel olarak bir önceki yılın aynı dönemine göre ikinci çeyrek büyüme oranını yüzde 3,8 olarak hesaplıyoruz. </w:t>
      </w:r>
    </w:p>
    <w:p w:rsidR="009B7C8B" w:rsidRDefault="009B7C8B" w:rsidP="003634C2">
      <w:pPr>
        <w:spacing w:line="360" w:lineRule="auto"/>
        <w:ind w:left="-360" w:right="40"/>
        <w:jc w:val="both"/>
        <w:rPr>
          <w:sz w:val="22"/>
          <w:szCs w:val="22"/>
        </w:rPr>
      </w:pPr>
    </w:p>
    <w:p w:rsidR="009B7C8B" w:rsidRDefault="009B7C8B" w:rsidP="003634C2">
      <w:pPr>
        <w:spacing w:line="360" w:lineRule="auto"/>
        <w:ind w:left="-360" w:right="40"/>
        <w:jc w:val="both"/>
        <w:rPr>
          <w:sz w:val="22"/>
          <w:szCs w:val="22"/>
        </w:rPr>
      </w:pPr>
      <w:r>
        <w:rPr>
          <w:sz w:val="22"/>
          <w:szCs w:val="22"/>
        </w:rPr>
        <w:t>Nisan ayında ithalatta, kısmen altından kaynaklanan, yüksek artış sonucu 12 aylık cari açık toplamı Mart sonunda 47,7 milyar dolardan Nisan sonunda 51,3 milyar dolara yükseldi. Betam 2013’ün ilk çeyreği sonunda yüzde 5,9 olan cari açığın GSYH’a oranının ikinci çeyrek sonunda 6,2’ye çıkacağını tahmin ediyor.</w:t>
      </w:r>
    </w:p>
    <w:p w:rsidR="009B7C8B" w:rsidRDefault="009B7C8B" w:rsidP="003634C2">
      <w:pPr>
        <w:spacing w:line="360" w:lineRule="auto"/>
        <w:ind w:right="40"/>
        <w:jc w:val="both"/>
        <w:rPr>
          <w:sz w:val="22"/>
          <w:szCs w:val="22"/>
        </w:rPr>
      </w:pPr>
    </w:p>
    <w:p w:rsidR="009B7C8B" w:rsidRDefault="009B7C8B" w:rsidP="003634C2">
      <w:pPr>
        <w:spacing w:line="360" w:lineRule="auto"/>
        <w:ind w:right="40"/>
        <w:jc w:val="both"/>
        <w:rPr>
          <w:sz w:val="22"/>
          <w:szCs w:val="22"/>
        </w:rPr>
      </w:pPr>
    </w:p>
    <w:p w:rsidR="009B7C8B" w:rsidRDefault="009B7C8B" w:rsidP="003634C2">
      <w:pPr>
        <w:spacing w:line="360" w:lineRule="auto"/>
        <w:ind w:right="40"/>
        <w:jc w:val="both"/>
        <w:rPr>
          <w:sz w:val="22"/>
          <w:szCs w:val="22"/>
        </w:rPr>
      </w:pPr>
    </w:p>
    <w:p w:rsidR="009B7C8B" w:rsidRDefault="00F018CE" w:rsidP="00EA5EA9">
      <w:pPr>
        <w:spacing w:line="288" w:lineRule="auto"/>
        <w:ind w:right="-318"/>
        <w:jc w:val="both"/>
        <w:rPr>
          <w:rFonts w:ascii="Arial" w:hAnsi="Arial" w:cs="Arial"/>
          <w:sz w:val="16"/>
          <w:szCs w:val="16"/>
        </w:rPr>
      </w:pPr>
      <w:r w:rsidRPr="00F018CE">
        <w:rPr>
          <w:noProof/>
        </w:rPr>
        <w:pict>
          <v:line id="_x0000_s1029" style="position:absolute;left:0;text-align:left;z-index:251661312" from="-17.25pt,5.35pt" to="180.75pt,5.4pt"/>
        </w:pict>
      </w:r>
      <w:r w:rsidRPr="00F018CE">
        <w:rPr>
          <w:rFonts w:ascii="Arial" w:hAnsi="Arial" w:cs="Arial"/>
          <w:sz w:val="16"/>
          <w:szCs w:val="16"/>
        </w:rPr>
      </w:r>
      <w:r>
        <w:rPr>
          <w:rFonts w:ascii="Arial" w:hAnsi="Arial" w:cs="Arial"/>
          <w:sz w:val="16"/>
          <w:szCs w:val="16"/>
        </w:rPr>
        <w:pict>
          <v:group id="_x0000_s1030" editas="canvas" style="width:198pt;height:3.6pt;mso-position-horizontal-relative:char;mso-position-vertical-relative:line" coordorigin="939,332" coordsize="6887,1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939;top:332;width:6887;height:133" o:preferrelative="f">
              <v:fill o:detectmouseclick="t"/>
              <v:path o:extrusionok="t" o:connecttype="none"/>
              <o:lock v:ext="edit" text="t"/>
            </v:shape>
            <w10:anchorlock/>
          </v:group>
        </w:pict>
      </w:r>
    </w:p>
    <w:p w:rsidR="009B7C8B" w:rsidRPr="00C2696C" w:rsidRDefault="009B7C8B" w:rsidP="00EA5EA9">
      <w:pPr>
        <w:spacing w:line="288" w:lineRule="auto"/>
        <w:ind w:left="-360" w:right="-318"/>
        <w:jc w:val="both"/>
        <w:rPr>
          <w:rFonts w:ascii="Arial" w:hAnsi="Arial" w:cs="Arial"/>
          <w:sz w:val="16"/>
          <w:szCs w:val="16"/>
        </w:rPr>
      </w:pPr>
      <w:r w:rsidRPr="00C2696C">
        <w:rPr>
          <w:rFonts w:ascii="Arial" w:hAnsi="Arial" w:cs="Arial"/>
          <w:sz w:val="16"/>
          <w:szCs w:val="16"/>
        </w:rPr>
        <w:t>* Dr. Zümrüt İmamoğlu, Betam, Uzman Araştırmacı.</w:t>
      </w:r>
    </w:p>
    <w:p w:rsidR="009B7C8B" w:rsidRDefault="009B7C8B" w:rsidP="00EA5EA9">
      <w:pPr>
        <w:spacing w:line="288" w:lineRule="auto"/>
        <w:ind w:left="-360" w:right="-318"/>
        <w:jc w:val="both"/>
        <w:rPr>
          <w:rFonts w:ascii="Arial" w:hAnsi="Arial" w:cs="Arial"/>
          <w:sz w:val="16"/>
          <w:szCs w:val="16"/>
        </w:rPr>
      </w:pPr>
      <w:r w:rsidRPr="00C2696C">
        <w:rPr>
          <w:rFonts w:ascii="Arial" w:hAnsi="Arial" w:cs="Arial"/>
          <w:sz w:val="16"/>
          <w:szCs w:val="16"/>
        </w:rPr>
        <w:t xml:space="preserve">  </w:t>
      </w:r>
      <w:hyperlink r:id="rId9" w:history="1">
        <w:r w:rsidRPr="005E1D9A">
          <w:rPr>
            <w:rStyle w:val="Hyperlink"/>
            <w:rFonts w:ascii="Arial" w:hAnsi="Arial" w:cs="Arial"/>
            <w:sz w:val="16"/>
            <w:szCs w:val="16"/>
          </w:rPr>
          <w:t>zumrut.imamoglu@bahcesehir.edu.tr</w:t>
        </w:r>
      </w:hyperlink>
    </w:p>
    <w:p w:rsidR="009B7C8B" w:rsidRPr="00C2696C" w:rsidRDefault="009B7C8B" w:rsidP="00EA5EA9">
      <w:pPr>
        <w:spacing w:line="288" w:lineRule="auto"/>
        <w:ind w:left="-360" w:right="-318"/>
        <w:jc w:val="both"/>
        <w:rPr>
          <w:rFonts w:ascii="Arial" w:hAnsi="Arial" w:cs="Arial"/>
          <w:sz w:val="16"/>
          <w:szCs w:val="16"/>
        </w:rPr>
      </w:pPr>
      <w:r w:rsidRPr="00C2696C">
        <w:rPr>
          <w:rFonts w:ascii="Arial" w:hAnsi="Arial" w:cs="Arial"/>
          <w:sz w:val="16"/>
          <w:szCs w:val="16"/>
          <w:vertAlign w:val="superscript"/>
        </w:rPr>
        <w:t xml:space="preserve">† </w:t>
      </w:r>
      <w:r w:rsidRPr="00C2696C">
        <w:rPr>
          <w:rFonts w:ascii="Arial" w:hAnsi="Arial" w:cs="Arial"/>
          <w:sz w:val="16"/>
          <w:szCs w:val="16"/>
        </w:rPr>
        <w:t>Barış Soybilgen, Betam, Araştırma Görevlisi</w:t>
      </w:r>
    </w:p>
    <w:p w:rsidR="009B7C8B" w:rsidRDefault="009B7C8B" w:rsidP="00EA5EA9">
      <w:pPr>
        <w:ind w:left="-360"/>
        <w:rPr>
          <w:rFonts w:ascii="Arial" w:hAnsi="Arial" w:cs="Arial"/>
          <w:sz w:val="16"/>
          <w:szCs w:val="16"/>
        </w:rPr>
      </w:pPr>
      <w:r w:rsidRPr="00970E4E">
        <w:rPr>
          <w:sz w:val="16"/>
          <w:szCs w:val="16"/>
        </w:rPr>
        <w:t xml:space="preserve">  </w:t>
      </w:r>
      <w:hyperlink r:id="rId10" w:history="1">
        <w:r w:rsidRPr="005E1D9A">
          <w:rPr>
            <w:rStyle w:val="Hyperlink"/>
            <w:rFonts w:ascii="Arial" w:hAnsi="Arial" w:cs="Arial"/>
            <w:sz w:val="16"/>
            <w:szCs w:val="16"/>
          </w:rPr>
          <w:t>baris.soybilgen@bahcesehir.edu.tr</w:t>
        </w:r>
      </w:hyperlink>
    </w:p>
    <w:p w:rsidR="009B7C8B" w:rsidRDefault="009B7C8B" w:rsidP="00EA5EA9">
      <w:pPr>
        <w:ind w:right="42"/>
        <w:rPr>
          <w:b/>
          <w:bCs/>
          <w:sz w:val="22"/>
          <w:szCs w:val="22"/>
        </w:rPr>
      </w:pPr>
    </w:p>
    <w:p w:rsidR="009B7C8B" w:rsidRDefault="009B7C8B" w:rsidP="00EA5EA9">
      <w:pPr>
        <w:outlineLvl w:val="0"/>
        <w:rPr>
          <w:b/>
          <w:bCs/>
          <w:sz w:val="22"/>
          <w:szCs w:val="22"/>
        </w:rPr>
      </w:pPr>
    </w:p>
    <w:p w:rsidR="009B7C8B" w:rsidRDefault="009B7C8B" w:rsidP="00EA5EA9">
      <w:pPr>
        <w:outlineLvl w:val="0"/>
        <w:rPr>
          <w:b/>
          <w:bCs/>
          <w:sz w:val="22"/>
          <w:szCs w:val="22"/>
        </w:rPr>
      </w:pPr>
    </w:p>
    <w:p w:rsidR="009B7C8B" w:rsidRDefault="009B7C8B" w:rsidP="00EA5EA9">
      <w:pPr>
        <w:outlineLvl w:val="0"/>
        <w:rPr>
          <w:b/>
          <w:bCs/>
          <w:sz w:val="22"/>
          <w:szCs w:val="22"/>
        </w:rPr>
      </w:pPr>
    </w:p>
    <w:p w:rsidR="009B7C8B" w:rsidRPr="004A7FE6" w:rsidRDefault="009B7C8B" w:rsidP="00EA5EA9">
      <w:pPr>
        <w:outlineLvl w:val="0"/>
        <w:rPr>
          <w:b/>
          <w:bCs/>
          <w:sz w:val="22"/>
          <w:szCs w:val="22"/>
        </w:rPr>
      </w:pPr>
      <w:r>
        <w:rPr>
          <w:b/>
          <w:bCs/>
          <w:sz w:val="22"/>
          <w:szCs w:val="22"/>
        </w:rPr>
        <w:t xml:space="preserve">Tablo 1. </w:t>
      </w:r>
      <w:r w:rsidRPr="008C6E50">
        <w:rPr>
          <w:b/>
          <w:bCs/>
          <w:sz w:val="22"/>
          <w:szCs w:val="22"/>
        </w:rPr>
        <w:t>B</w:t>
      </w:r>
      <w:r>
        <w:rPr>
          <w:b/>
          <w:bCs/>
          <w:sz w:val="22"/>
          <w:szCs w:val="22"/>
        </w:rPr>
        <w:t>etam</w:t>
      </w:r>
      <w:r w:rsidRPr="008C6E50">
        <w:rPr>
          <w:b/>
          <w:bCs/>
          <w:sz w:val="22"/>
          <w:szCs w:val="22"/>
        </w:rPr>
        <w:t>’ın GSYH ve Cari Açık Tahminleri</w:t>
      </w:r>
    </w:p>
    <w:tbl>
      <w:tblPr>
        <w:tblpPr w:leftFromText="141" w:rightFromText="141" w:vertAnchor="text" w:horzAnchor="margin" w:tblpXSpec="right" w:tblpY="129"/>
        <w:tblW w:w="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8"/>
        <w:gridCol w:w="1362"/>
      </w:tblGrid>
      <w:tr w:rsidR="009B7C8B" w:rsidRPr="003118F7">
        <w:trPr>
          <w:trHeight w:val="986"/>
        </w:trPr>
        <w:tc>
          <w:tcPr>
            <w:tcW w:w="3268" w:type="dxa"/>
            <w:tcMar>
              <w:left w:w="28" w:type="dxa"/>
              <w:right w:w="28" w:type="dxa"/>
            </w:tcMar>
            <w:vAlign w:val="center"/>
          </w:tcPr>
          <w:p w:rsidR="009B7C8B" w:rsidRPr="003118F7" w:rsidRDefault="009B7C8B" w:rsidP="00D41B9B">
            <w:pPr>
              <w:ind w:right="42"/>
              <w:jc w:val="center"/>
              <w:rPr>
                <w:sz w:val="20"/>
                <w:szCs w:val="20"/>
              </w:rPr>
            </w:pPr>
          </w:p>
        </w:tc>
        <w:tc>
          <w:tcPr>
            <w:tcW w:w="1362" w:type="dxa"/>
            <w:vAlign w:val="center"/>
          </w:tcPr>
          <w:p w:rsidR="009B7C8B" w:rsidRPr="003118F7" w:rsidRDefault="009B7C8B" w:rsidP="00D41B9B">
            <w:pPr>
              <w:ind w:right="40"/>
              <w:jc w:val="center"/>
              <w:rPr>
                <w:b/>
                <w:bCs/>
                <w:sz w:val="20"/>
                <w:szCs w:val="20"/>
              </w:rPr>
            </w:pPr>
            <w:r>
              <w:rPr>
                <w:b/>
                <w:bCs/>
                <w:sz w:val="20"/>
                <w:szCs w:val="20"/>
              </w:rPr>
              <w:t>2013</w:t>
            </w:r>
          </w:p>
          <w:p w:rsidR="009B7C8B" w:rsidRPr="003118F7" w:rsidRDefault="009B7C8B" w:rsidP="00D41B9B">
            <w:pPr>
              <w:ind w:right="40"/>
              <w:jc w:val="center"/>
              <w:rPr>
                <w:b/>
                <w:bCs/>
                <w:sz w:val="20"/>
                <w:szCs w:val="20"/>
              </w:rPr>
            </w:pPr>
            <w:r>
              <w:rPr>
                <w:b/>
                <w:bCs/>
                <w:sz w:val="20"/>
                <w:szCs w:val="20"/>
              </w:rPr>
              <w:t>1</w:t>
            </w:r>
            <w:r w:rsidRPr="003118F7">
              <w:rPr>
                <w:b/>
                <w:bCs/>
                <w:sz w:val="20"/>
                <w:szCs w:val="20"/>
              </w:rPr>
              <w:t>. Çeyrek</w:t>
            </w:r>
          </w:p>
          <w:p w:rsidR="009B7C8B" w:rsidRPr="003118F7" w:rsidRDefault="009B7C8B" w:rsidP="00D41B9B">
            <w:pPr>
              <w:ind w:right="40"/>
              <w:jc w:val="center"/>
              <w:rPr>
                <w:b/>
                <w:bCs/>
                <w:sz w:val="20"/>
                <w:szCs w:val="20"/>
              </w:rPr>
            </w:pPr>
            <w:r w:rsidRPr="003118F7">
              <w:rPr>
                <w:b/>
                <w:bCs/>
                <w:sz w:val="20"/>
                <w:szCs w:val="20"/>
              </w:rPr>
              <w:t>Tahmin</w:t>
            </w:r>
          </w:p>
        </w:tc>
      </w:tr>
      <w:tr w:rsidR="009B7C8B" w:rsidRPr="003118F7">
        <w:trPr>
          <w:trHeight w:val="771"/>
        </w:trPr>
        <w:tc>
          <w:tcPr>
            <w:tcW w:w="3268" w:type="dxa"/>
            <w:tcMar>
              <w:left w:w="28" w:type="dxa"/>
              <w:right w:w="28" w:type="dxa"/>
            </w:tcMar>
            <w:vAlign w:val="center"/>
          </w:tcPr>
          <w:p w:rsidR="009B7C8B" w:rsidRPr="003118F7" w:rsidRDefault="009B7C8B" w:rsidP="00D41B9B">
            <w:pPr>
              <w:ind w:right="42"/>
              <w:rPr>
                <w:sz w:val="20"/>
                <w:szCs w:val="20"/>
              </w:rPr>
            </w:pPr>
            <w:r w:rsidRPr="003118F7">
              <w:rPr>
                <w:sz w:val="20"/>
                <w:szCs w:val="20"/>
              </w:rPr>
              <w:t>GSYH büyüme, reel</w:t>
            </w:r>
          </w:p>
          <w:p w:rsidR="009B7C8B" w:rsidRPr="003118F7" w:rsidRDefault="009B7C8B" w:rsidP="00D41B9B">
            <w:pPr>
              <w:ind w:right="42"/>
              <w:rPr>
                <w:sz w:val="20"/>
                <w:szCs w:val="20"/>
              </w:rPr>
            </w:pPr>
            <w:r w:rsidRPr="003118F7">
              <w:rPr>
                <w:sz w:val="20"/>
                <w:szCs w:val="20"/>
              </w:rPr>
              <w:t>(bir önceki çeyreğe göre, mea*)</w:t>
            </w:r>
          </w:p>
        </w:tc>
        <w:tc>
          <w:tcPr>
            <w:tcW w:w="1362" w:type="dxa"/>
            <w:vAlign w:val="center"/>
          </w:tcPr>
          <w:p w:rsidR="009B7C8B" w:rsidRPr="003118F7" w:rsidRDefault="009B7C8B" w:rsidP="00D41B9B">
            <w:pPr>
              <w:ind w:right="42"/>
              <w:jc w:val="center"/>
              <w:rPr>
                <w:sz w:val="20"/>
                <w:szCs w:val="20"/>
              </w:rPr>
            </w:pPr>
            <w:r>
              <w:rPr>
                <w:sz w:val="20"/>
                <w:szCs w:val="20"/>
              </w:rPr>
              <w:t>2,0</w:t>
            </w:r>
          </w:p>
        </w:tc>
      </w:tr>
      <w:tr w:rsidR="009B7C8B" w:rsidRPr="003118F7">
        <w:trPr>
          <w:trHeight w:val="756"/>
        </w:trPr>
        <w:tc>
          <w:tcPr>
            <w:tcW w:w="3268" w:type="dxa"/>
            <w:tcMar>
              <w:left w:w="28" w:type="dxa"/>
              <w:right w:w="28" w:type="dxa"/>
            </w:tcMar>
            <w:vAlign w:val="center"/>
          </w:tcPr>
          <w:p w:rsidR="009B7C8B" w:rsidRPr="003118F7" w:rsidRDefault="009B7C8B" w:rsidP="00D41B9B">
            <w:pPr>
              <w:ind w:right="42"/>
              <w:rPr>
                <w:sz w:val="20"/>
                <w:szCs w:val="20"/>
              </w:rPr>
            </w:pPr>
            <w:r w:rsidRPr="003118F7">
              <w:rPr>
                <w:sz w:val="20"/>
                <w:szCs w:val="20"/>
              </w:rPr>
              <w:t>GSYH büyüme, reel (geçen yılın aynı çeyreğine göre, tea**)</w:t>
            </w:r>
          </w:p>
        </w:tc>
        <w:tc>
          <w:tcPr>
            <w:tcW w:w="1362" w:type="dxa"/>
            <w:vAlign w:val="center"/>
          </w:tcPr>
          <w:p w:rsidR="009B7C8B" w:rsidRPr="003118F7" w:rsidRDefault="009B7C8B" w:rsidP="00D41B9B">
            <w:pPr>
              <w:ind w:right="42"/>
              <w:jc w:val="center"/>
              <w:rPr>
                <w:sz w:val="20"/>
                <w:szCs w:val="20"/>
              </w:rPr>
            </w:pPr>
            <w:r>
              <w:rPr>
                <w:sz w:val="20"/>
                <w:szCs w:val="20"/>
              </w:rPr>
              <w:t>3,8</w:t>
            </w:r>
          </w:p>
        </w:tc>
      </w:tr>
      <w:tr w:rsidR="009B7C8B" w:rsidRPr="003118F7">
        <w:trPr>
          <w:trHeight w:val="583"/>
        </w:trPr>
        <w:tc>
          <w:tcPr>
            <w:tcW w:w="3268" w:type="dxa"/>
            <w:tcMar>
              <w:left w:w="28" w:type="dxa"/>
              <w:right w:w="28" w:type="dxa"/>
            </w:tcMar>
            <w:vAlign w:val="center"/>
          </w:tcPr>
          <w:p w:rsidR="009B7C8B" w:rsidRPr="003118F7" w:rsidRDefault="009B7C8B" w:rsidP="00D41B9B">
            <w:pPr>
              <w:ind w:right="40"/>
              <w:rPr>
                <w:sz w:val="20"/>
                <w:szCs w:val="20"/>
              </w:rPr>
            </w:pPr>
            <w:r w:rsidRPr="003118F7">
              <w:rPr>
                <w:sz w:val="20"/>
                <w:szCs w:val="20"/>
              </w:rPr>
              <w:t>Cari Açık (yıllık)</w:t>
            </w:r>
          </w:p>
        </w:tc>
        <w:tc>
          <w:tcPr>
            <w:tcW w:w="1362" w:type="dxa"/>
            <w:vAlign w:val="center"/>
          </w:tcPr>
          <w:p w:rsidR="009B7C8B" w:rsidRPr="003118F7" w:rsidRDefault="009B7C8B" w:rsidP="00D41B9B">
            <w:pPr>
              <w:ind w:right="40"/>
              <w:jc w:val="center"/>
              <w:rPr>
                <w:sz w:val="20"/>
                <w:szCs w:val="20"/>
              </w:rPr>
            </w:pPr>
            <w:r>
              <w:rPr>
                <w:sz w:val="20"/>
                <w:szCs w:val="20"/>
              </w:rPr>
              <w:t>6,2</w:t>
            </w:r>
          </w:p>
        </w:tc>
      </w:tr>
    </w:tbl>
    <w:p w:rsidR="009B7C8B" w:rsidRPr="0070556E" w:rsidRDefault="009B7C8B" w:rsidP="00EA5EA9">
      <w:pPr>
        <w:ind w:left="-360" w:right="40"/>
        <w:rPr>
          <w:sz w:val="4"/>
          <w:szCs w:val="4"/>
        </w:rPr>
      </w:pPr>
    </w:p>
    <w:p w:rsidR="009B7C8B" w:rsidRPr="00C674EC" w:rsidRDefault="009B7C8B" w:rsidP="00EA5EA9">
      <w:pPr>
        <w:ind w:left="-360" w:right="40"/>
        <w:rPr>
          <w:sz w:val="18"/>
          <w:szCs w:val="18"/>
        </w:rPr>
      </w:pPr>
      <w:r w:rsidRPr="00CC41EB">
        <w:rPr>
          <w:sz w:val="18"/>
          <w:szCs w:val="18"/>
        </w:rPr>
        <w:t>Kaynak: Betam</w:t>
      </w:r>
      <w:r>
        <w:rPr>
          <w:sz w:val="18"/>
          <w:szCs w:val="18"/>
        </w:rPr>
        <w:t xml:space="preserve">. </w:t>
      </w:r>
      <w:r w:rsidRPr="00CC41EB">
        <w:rPr>
          <w:sz w:val="18"/>
          <w:szCs w:val="18"/>
        </w:rPr>
        <w:t>*mea: mevsim ve takvim etkilerinden arındırılmış</w:t>
      </w:r>
      <w:r>
        <w:rPr>
          <w:sz w:val="18"/>
          <w:szCs w:val="18"/>
        </w:rPr>
        <w:t xml:space="preserve">.  </w:t>
      </w:r>
      <w:r w:rsidRPr="00CC41EB">
        <w:rPr>
          <w:sz w:val="18"/>
          <w:szCs w:val="18"/>
        </w:rPr>
        <w:t>**tea: takvim etkilerinden arındırılmış</w:t>
      </w:r>
      <w:r>
        <w:rPr>
          <w:sz w:val="18"/>
          <w:szCs w:val="18"/>
        </w:rPr>
        <w:t>.</w:t>
      </w:r>
    </w:p>
    <w:p w:rsidR="009B7C8B" w:rsidRDefault="009B7C8B" w:rsidP="00EA5EA9">
      <w:pPr>
        <w:spacing w:line="360" w:lineRule="auto"/>
        <w:ind w:left="-360" w:right="42"/>
        <w:rPr>
          <w:b/>
          <w:bCs/>
          <w:sz w:val="22"/>
          <w:szCs w:val="22"/>
        </w:rPr>
      </w:pPr>
    </w:p>
    <w:p w:rsidR="009B7C8B" w:rsidRDefault="009B7C8B" w:rsidP="00EA5EA9">
      <w:pPr>
        <w:ind w:left="-360"/>
        <w:rPr>
          <w:rFonts w:ascii="Arial" w:hAnsi="Arial" w:cs="Arial"/>
          <w:sz w:val="16"/>
          <w:szCs w:val="16"/>
        </w:rPr>
      </w:pPr>
    </w:p>
    <w:p w:rsidR="009B7C8B" w:rsidRDefault="009B7C8B" w:rsidP="00EA5EA9">
      <w:pPr>
        <w:ind w:left="-360"/>
        <w:jc w:val="center"/>
        <w:rPr>
          <w:b/>
          <w:bCs/>
          <w:sz w:val="22"/>
          <w:szCs w:val="22"/>
        </w:rPr>
      </w:pPr>
      <w:r>
        <w:rPr>
          <w:b/>
          <w:bCs/>
          <w:sz w:val="22"/>
          <w:szCs w:val="22"/>
        </w:rPr>
        <w:t>İkinci çeyrek daha hızlı</w:t>
      </w:r>
    </w:p>
    <w:p w:rsidR="009B7C8B" w:rsidRDefault="009B7C8B" w:rsidP="00EA5EA9">
      <w:pPr>
        <w:spacing w:line="360" w:lineRule="auto"/>
        <w:ind w:left="-360" w:right="42"/>
        <w:jc w:val="both"/>
        <w:rPr>
          <w:sz w:val="22"/>
          <w:szCs w:val="22"/>
        </w:rPr>
      </w:pPr>
    </w:p>
    <w:p w:rsidR="009B7C8B" w:rsidRDefault="009B7C8B" w:rsidP="00EA5EA9">
      <w:pPr>
        <w:spacing w:line="360" w:lineRule="auto"/>
        <w:ind w:left="-360" w:right="42"/>
        <w:jc w:val="both"/>
        <w:rPr>
          <w:sz w:val="22"/>
          <w:szCs w:val="22"/>
        </w:rPr>
      </w:pPr>
      <w:r>
        <w:rPr>
          <w:sz w:val="22"/>
          <w:szCs w:val="22"/>
        </w:rPr>
        <w:t>İlk çeyrek büyüme oranı yüzde 3 ile beklentimiz olan 2,4’ün üzerinde gerçekleşti. Tüketimin büyümenin itici gücü olacağı, yatırımların toparlandığı ve net ihracatın katkısının artık negatife döneceği öngörülerimiz gerçekleşti. Kamu kesimi ise beklenin üzerinde bir katkıyla büyüme oranını yüzde 3’e çekti.</w:t>
      </w:r>
    </w:p>
    <w:p w:rsidR="009B7C8B" w:rsidRDefault="009B7C8B" w:rsidP="00EA5EA9">
      <w:pPr>
        <w:spacing w:line="360" w:lineRule="auto"/>
        <w:ind w:left="-360" w:right="42"/>
        <w:jc w:val="both"/>
        <w:rPr>
          <w:sz w:val="22"/>
          <w:szCs w:val="22"/>
        </w:rPr>
      </w:pPr>
    </w:p>
    <w:p w:rsidR="009B7C8B" w:rsidRDefault="009B7C8B" w:rsidP="00EA5EA9">
      <w:pPr>
        <w:spacing w:line="360" w:lineRule="auto"/>
        <w:ind w:left="-360" w:right="42"/>
        <w:jc w:val="both"/>
        <w:rPr>
          <w:sz w:val="22"/>
          <w:szCs w:val="22"/>
        </w:rPr>
      </w:pPr>
      <w:r>
        <w:rPr>
          <w:sz w:val="22"/>
          <w:szCs w:val="22"/>
        </w:rPr>
        <w:t xml:space="preserve">İkinci çeyreğe dair ilk tahminimiz büyümenin ilk çeyreğe benzer şekilde iç talep artışı ile devam edeceği yönünde. Nisan ayında sanayi üretim endeksinde ve ithalatta görülen güçlü artışlar tüketimdeki canlanmanın üretime de yansıdığını gösteriyor. Tüketim göstergeleri olumlu gelmeye </w:t>
      </w:r>
      <w:r>
        <w:rPr>
          <w:sz w:val="22"/>
          <w:szCs w:val="22"/>
        </w:rPr>
        <w:lastRenderedPageBreak/>
        <w:t>devam ediyor. Yatırım için göstergeler hala net değil. Reel kesim güven endeksi Nisan’daki düşüşün ardından Mayıs’da hafif yükseldi. Kapasite kullanım oranı son dört aydır artıyor.</w:t>
      </w:r>
    </w:p>
    <w:p w:rsidR="009B7C8B" w:rsidRDefault="009B7C8B" w:rsidP="00EA5EA9">
      <w:pPr>
        <w:spacing w:line="360" w:lineRule="auto"/>
        <w:ind w:left="-360" w:right="42"/>
        <w:jc w:val="both"/>
        <w:rPr>
          <w:sz w:val="22"/>
          <w:szCs w:val="22"/>
        </w:rPr>
      </w:pPr>
    </w:p>
    <w:p w:rsidR="009B7C8B" w:rsidRDefault="009B7C8B" w:rsidP="00EA5EA9">
      <w:pPr>
        <w:spacing w:line="360" w:lineRule="auto"/>
        <w:ind w:left="-360" w:right="42"/>
        <w:jc w:val="both"/>
        <w:rPr>
          <w:sz w:val="22"/>
          <w:szCs w:val="22"/>
        </w:rPr>
      </w:pPr>
      <w:r>
        <w:rPr>
          <w:sz w:val="22"/>
          <w:szCs w:val="22"/>
        </w:rPr>
        <w:t>İkinci çeyrekte net dış talep etkisinin negatif olmaya devam edeceği anlaşılıyor. İhracat miktar endeksi 2013 yılının başından bu yana Şubat hariç her ay düştü. İthalattaysa güçlü artışlar devam ediyor. Özellikle aramalı ve yatırım malı ithalatında Nisan ayındaki büyük artışlar dikkat çekiyor. Mart ayında hafifçe gerileyen cari açık ithalattaki canlanma sonucu artmaya devam ediyor. Bu arada Nisan ayında 2,5 milyar dolarlık altın ithalatı da cari açığa önemli katkı yaptı.</w:t>
      </w:r>
    </w:p>
    <w:p w:rsidR="009B7C8B" w:rsidRDefault="009B7C8B" w:rsidP="00EA5EA9">
      <w:pPr>
        <w:spacing w:line="360" w:lineRule="auto"/>
        <w:ind w:left="-360" w:right="42"/>
        <w:jc w:val="both"/>
        <w:rPr>
          <w:sz w:val="22"/>
          <w:szCs w:val="22"/>
        </w:rPr>
      </w:pPr>
    </w:p>
    <w:p w:rsidR="009B7C8B" w:rsidRDefault="009B7C8B" w:rsidP="00EA5EA9">
      <w:pPr>
        <w:spacing w:line="360" w:lineRule="auto"/>
        <w:ind w:left="-360" w:right="42"/>
        <w:jc w:val="both"/>
        <w:rPr>
          <w:sz w:val="22"/>
          <w:szCs w:val="22"/>
        </w:rPr>
      </w:pPr>
      <w:r>
        <w:rPr>
          <w:sz w:val="22"/>
          <w:szCs w:val="22"/>
        </w:rPr>
        <w:t>Betam’ın ikinci çeyrek büyüme tahmini çeyrekten çeyreğe yüzde 2 oranında. Buna paralel olarak geçen yılın aynı çeyreğine göre büyümeyi yüzde 3,8 olarak hesaplıyoruz. İç talep artışı ile cari açığın GSYH’a oranının da artarak ilk çeyrek sonunda yüzde 5,9’dan ikinci çeyrek sonunda 6,2’ye çıkacağını tahmin ediyoruz.</w:t>
      </w:r>
    </w:p>
    <w:p w:rsidR="009B7C8B" w:rsidRDefault="009B7C8B" w:rsidP="00EA5EA9">
      <w:pPr>
        <w:spacing w:line="360" w:lineRule="auto"/>
        <w:ind w:left="-360" w:right="42"/>
        <w:jc w:val="both"/>
        <w:rPr>
          <w:sz w:val="22"/>
          <w:szCs w:val="22"/>
        </w:rPr>
      </w:pPr>
    </w:p>
    <w:p w:rsidR="009B7C8B" w:rsidRPr="00CE70EB" w:rsidRDefault="009B7C8B" w:rsidP="00EA5EA9">
      <w:pPr>
        <w:spacing w:line="360" w:lineRule="auto"/>
        <w:ind w:left="-360" w:right="42"/>
        <w:jc w:val="center"/>
        <w:rPr>
          <w:b/>
          <w:bCs/>
          <w:sz w:val="22"/>
          <w:szCs w:val="22"/>
        </w:rPr>
      </w:pPr>
      <w:r>
        <w:rPr>
          <w:b/>
          <w:bCs/>
          <w:sz w:val="22"/>
          <w:szCs w:val="22"/>
        </w:rPr>
        <w:t>Gezi protestolarının etkileri</w:t>
      </w:r>
    </w:p>
    <w:p w:rsidR="009B7C8B" w:rsidRDefault="009B7C8B" w:rsidP="00EA5EA9">
      <w:pPr>
        <w:spacing w:line="360" w:lineRule="auto"/>
        <w:ind w:left="-360" w:right="42"/>
        <w:jc w:val="both"/>
        <w:rPr>
          <w:sz w:val="22"/>
          <w:szCs w:val="22"/>
        </w:rPr>
      </w:pPr>
    </w:p>
    <w:p w:rsidR="009B7C8B" w:rsidRDefault="009B7C8B" w:rsidP="00EA5EA9">
      <w:pPr>
        <w:spacing w:line="360" w:lineRule="auto"/>
        <w:ind w:left="-360" w:right="42"/>
        <w:jc w:val="both"/>
        <w:rPr>
          <w:sz w:val="22"/>
          <w:szCs w:val="22"/>
        </w:rPr>
      </w:pPr>
      <w:r>
        <w:rPr>
          <w:sz w:val="22"/>
          <w:szCs w:val="22"/>
        </w:rPr>
        <w:t xml:space="preserve">Bu tarihe kadar elimizde ikinci çeyreğe dair yalnızca Nisan ve kısmen Mayıs ayına dair veriler var. Oysa ki ikinci çeyrekte ekonomiyi potansiyel olarak etkileyebilecek önemli gelişmeler yaşandı. İlki Türkiye’nin kredi notunun yatırım yapılabilir seviyeye çıkartılmasıydı. Uzun vadeli yatırım beklentisini olumlu yönde etkilemesi beklenen bu gelişmeyi T.C. Merkez Bankası’nın faizleri indirmesi izledi, tahvil faizleri yüzde 5’in altına inerken TL, Merkez Bankası’nın arzuladığı şekilde, bir miktar değer kaybetti. </w:t>
      </w:r>
    </w:p>
    <w:p w:rsidR="009B7C8B" w:rsidRDefault="009B7C8B" w:rsidP="00EA5EA9">
      <w:pPr>
        <w:spacing w:line="360" w:lineRule="auto"/>
        <w:ind w:left="-360" w:right="42"/>
        <w:jc w:val="both"/>
        <w:rPr>
          <w:sz w:val="22"/>
          <w:szCs w:val="22"/>
        </w:rPr>
      </w:pPr>
      <w:r>
        <w:rPr>
          <w:sz w:val="22"/>
          <w:szCs w:val="22"/>
        </w:rPr>
        <w:lastRenderedPageBreak/>
        <w:t>Beklenmeyen bir gelişme Amerikan Merkez Bankası’nın tahvil alım miktarını önümüzdeki aylarda azaltabileceği  yönündeki açıklamasıydı. Çok geçmeden tüm gelişmekte olan ülkelerden sermaye çıkışları gözlemlenmeye başladı, TL Merkez Bankası’nın arzuladığı seviyeden daha fazla değer kaybedince Merkez Bankası’ndan sözlü müdahale geldi. Tam da bu ortamda Gezi parkında yapılan protestoların geniş kitleleri kapsayan ve ne zaman sona ereceği belli olmayan bir harekete dönüşmesi piyasalar üzerinde etkili oldu, gösterge faiz yüzde 7’nin, kur sepeti de 2,2’nin üzerine kadar çıktı. Merkez Bankası’nın müdahaleleri ve ek parasal sıkılaştırmaya gitmesi sonucu ise Haziran ortası itibariyle hem faiz hem de kur makul seviyelere inmiş durumda.</w:t>
      </w:r>
    </w:p>
    <w:p w:rsidR="009B7C8B" w:rsidRDefault="009B7C8B" w:rsidP="00EA5EA9">
      <w:pPr>
        <w:spacing w:line="360" w:lineRule="auto"/>
        <w:ind w:left="-360" w:right="42"/>
        <w:jc w:val="both"/>
        <w:rPr>
          <w:sz w:val="22"/>
          <w:szCs w:val="22"/>
        </w:rPr>
      </w:pPr>
    </w:p>
    <w:p w:rsidR="009B7C8B" w:rsidRDefault="009B7C8B" w:rsidP="00EA5EA9">
      <w:pPr>
        <w:spacing w:line="360" w:lineRule="auto"/>
        <w:ind w:left="-360" w:right="42"/>
        <w:jc w:val="both"/>
        <w:rPr>
          <w:sz w:val="22"/>
          <w:szCs w:val="22"/>
        </w:rPr>
      </w:pPr>
      <w:r>
        <w:rPr>
          <w:sz w:val="22"/>
          <w:szCs w:val="22"/>
        </w:rPr>
        <w:t>İkinci çeyrek büyümesini değerlendirirken bu olayların etkilerinin de elbette göz önüne alınması gerekiyor. Oysa elimizde Mayıs verileri kısmen mevcut, Haziran verileri ise namevcut. Yurt dışı  kaynaklı piyasa dalgalanmaları ve Gezi parkı olayları beklentileri bozarak ilk çeyrekte zayıf gelen yatırımların bir süre daha ertelenmesine neden olmuş ise ikinci çeyrek büyümesi tahmin ettiğimiz kadar yüksek olmayabilir. Ayrıca Amerikan ekonomisine dair gelebilecek yeni olumlu veriler gelişmekte olan ülkelerden sermaye çıkışlarını önümüzdeki dönemde hızlandırabilir. Öte yandan barış sürecinin başarılı bir şekilde devam etmesi ve gezi olaylarının toplumsal uzlaşı ile sona ermesi yılın geri kalanı için ekonomiyi olumlu yönde etkileyecektir.</w:t>
      </w:r>
    </w:p>
    <w:p w:rsidR="009B7C8B" w:rsidRDefault="009B7C8B" w:rsidP="00B33409">
      <w:pPr>
        <w:ind w:left="-360"/>
        <w:jc w:val="center"/>
        <w:rPr>
          <w:b/>
          <w:bCs/>
          <w:sz w:val="22"/>
          <w:szCs w:val="22"/>
        </w:rPr>
      </w:pPr>
    </w:p>
    <w:p w:rsidR="009B7C8B" w:rsidRDefault="009B7C8B" w:rsidP="007D3E0C">
      <w:pPr>
        <w:spacing w:line="360" w:lineRule="auto"/>
        <w:ind w:left="-360" w:right="42"/>
        <w:jc w:val="center"/>
        <w:rPr>
          <w:b/>
          <w:bCs/>
          <w:sz w:val="22"/>
          <w:szCs w:val="22"/>
        </w:rPr>
      </w:pPr>
    </w:p>
    <w:p w:rsidR="009B7C8B" w:rsidRDefault="009B7C8B" w:rsidP="007D3E0C">
      <w:pPr>
        <w:spacing w:line="360" w:lineRule="auto"/>
        <w:ind w:left="-360" w:right="42"/>
        <w:jc w:val="center"/>
        <w:rPr>
          <w:b/>
          <w:bCs/>
          <w:sz w:val="22"/>
          <w:szCs w:val="22"/>
        </w:rPr>
      </w:pPr>
    </w:p>
    <w:p w:rsidR="009B7C8B" w:rsidRDefault="009B7C8B" w:rsidP="007D3E0C">
      <w:pPr>
        <w:spacing w:line="360" w:lineRule="auto"/>
        <w:ind w:left="-360" w:right="42"/>
        <w:jc w:val="center"/>
        <w:rPr>
          <w:b/>
          <w:bCs/>
          <w:sz w:val="22"/>
          <w:szCs w:val="22"/>
        </w:rPr>
      </w:pPr>
    </w:p>
    <w:p w:rsidR="009B7C8B" w:rsidRDefault="009B7C8B" w:rsidP="007D3E0C">
      <w:pPr>
        <w:spacing w:line="360" w:lineRule="auto"/>
        <w:ind w:left="-360" w:right="42"/>
        <w:jc w:val="center"/>
        <w:rPr>
          <w:b/>
          <w:bCs/>
          <w:sz w:val="22"/>
          <w:szCs w:val="22"/>
        </w:rPr>
      </w:pPr>
      <w:r>
        <w:rPr>
          <w:b/>
          <w:bCs/>
          <w:sz w:val="22"/>
          <w:szCs w:val="22"/>
        </w:rPr>
        <w:lastRenderedPageBreak/>
        <w:t>Özel tüketim artmaya devam ediyor</w:t>
      </w:r>
    </w:p>
    <w:p w:rsidR="009B7C8B" w:rsidRDefault="009B7C8B" w:rsidP="00801F91">
      <w:pPr>
        <w:spacing w:line="360" w:lineRule="auto"/>
        <w:ind w:left="-360" w:right="42"/>
        <w:jc w:val="center"/>
        <w:rPr>
          <w:b/>
          <w:bCs/>
          <w:sz w:val="22"/>
          <w:szCs w:val="22"/>
        </w:rPr>
      </w:pPr>
    </w:p>
    <w:p w:rsidR="009B7C8B" w:rsidRDefault="009B7C8B" w:rsidP="00574E1B">
      <w:pPr>
        <w:spacing w:line="360" w:lineRule="auto"/>
        <w:ind w:left="-360" w:right="42"/>
        <w:jc w:val="both"/>
        <w:rPr>
          <w:sz w:val="22"/>
          <w:szCs w:val="22"/>
        </w:rPr>
      </w:pPr>
      <w:r>
        <w:rPr>
          <w:sz w:val="22"/>
          <w:szCs w:val="22"/>
        </w:rPr>
        <w:t xml:space="preserve">Dayanıksız tüketim malı imalatı Nisan ayında yüzde 1,0 artarken, dayanıklı tüketim malı imalatı ve tüketim malı ithalatı sırasıyla yüzde 0,9 ve yüzde 1,8 azaldı. Tüketici güven endeksi ise hem Nisan hem de Mayıs ayında sırasıyla yüzde 1,1 ve yüzde 1,3 arttı. Özel tüketim vergisi de yine Nisan ayında yüzde 5,8 artış gösterdi. 2013 1. çeyrek verileri Türkiye ekonomisinin iç taleple büyüme patikasına geri döndüğünü göstermekte, 2013 2. çeyrek verileri de iç talebe bağlı büyümenin devam ettiğini işaret ediyor. Özel tüketim harcamalarının 2. çeyrekte de ekonominin itici gücü olmasını bekliyoruz. </w:t>
      </w:r>
    </w:p>
    <w:p w:rsidR="009B7C8B" w:rsidRDefault="009B7C8B" w:rsidP="008C2C95">
      <w:pPr>
        <w:spacing w:line="360" w:lineRule="auto"/>
        <w:ind w:right="42"/>
        <w:rPr>
          <w:b/>
          <w:bCs/>
          <w:sz w:val="22"/>
          <w:szCs w:val="22"/>
        </w:rPr>
      </w:pPr>
    </w:p>
    <w:p w:rsidR="009B7C8B" w:rsidRDefault="009B7C8B" w:rsidP="00801F91">
      <w:pPr>
        <w:spacing w:line="360" w:lineRule="auto"/>
        <w:ind w:left="-360" w:right="42"/>
        <w:jc w:val="center"/>
        <w:rPr>
          <w:b/>
          <w:bCs/>
          <w:sz w:val="22"/>
          <w:szCs w:val="22"/>
        </w:rPr>
      </w:pPr>
      <w:r>
        <w:rPr>
          <w:b/>
          <w:bCs/>
          <w:sz w:val="22"/>
          <w:szCs w:val="22"/>
        </w:rPr>
        <w:t>Yatırım harcamaları artıyor</w:t>
      </w:r>
    </w:p>
    <w:p w:rsidR="009B7C8B" w:rsidRDefault="009B7C8B" w:rsidP="00801F91">
      <w:pPr>
        <w:spacing w:line="360" w:lineRule="auto"/>
        <w:ind w:left="-360" w:right="42"/>
        <w:jc w:val="center"/>
        <w:rPr>
          <w:b/>
          <w:bCs/>
          <w:sz w:val="22"/>
          <w:szCs w:val="22"/>
        </w:rPr>
      </w:pPr>
    </w:p>
    <w:p w:rsidR="009B7C8B" w:rsidRDefault="009B7C8B" w:rsidP="00EA5EA9">
      <w:pPr>
        <w:spacing w:line="360" w:lineRule="auto"/>
        <w:ind w:left="-360" w:right="42"/>
        <w:jc w:val="both"/>
        <w:rPr>
          <w:sz w:val="22"/>
          <w:szCs w:val="22"/>
        </w:rPr>
      </w:pPr>
      <w:r>
        <w:rPr>
          <w:sz w:val="22"/>
          <w:szCs w:val="22"/>
        </w:rPr>
        <w:t>Ara malı ve yatırım malı ithalatının Nisan ayında bir önceki aya göre büyük bir sıçrama yaptığını görüyoruz. Sanayi üretim endeksi de aynı dönemde yüzde 1,3 arttı. Kapasite kullanım oranı da son dört çeyrektir artıyor; Nisan ve Mayıs ayında art arda yüzde 0,3 arttı. Son olarak reel kesim endeksi Nisan ayında yüzde 3,3 azalmasının ardından, Mayıs ayında yüzde 0,7 arttı. Genel olarak özel yatırım harcamalarının ikinci çeyrekte birince çeyreğe göre GSYH’a daha fazla katkı yapmasını bekliyoruz.</w:t>
      </w:r>
    </w:p>
    <w:p w:rsidR="009B7C8B" w:rsidRPr="006335A2" w:rsidRDefault="009B7C8B" w:rsidP="00985758">
      <w:pPr>
        <w:spacing w:line="360" w:lineRule="auto"/>
        <w:ind w:right="42"/>
        <w:jc w:val="both"/>
        <w:rPr>
          <w:sz w:val="22"/>
          <w:szCs w:val="22"/>
        </w:rPr>
      </w:pPr>
    </w:p>
    <w:p w:rsidR="009B7C8B" w:rsidRDefault="009B7C8B" w:rsidP="00801F91">
      <w:pPr>
        <w:spacing w:line="360" w:lineRule="auto"/>
        <w:ind w:left="-360" w:right="42"/>
        <w:jc w:val="center"/>
        <w:rPr>
          <w:b/>
          <w:bCs/>
          <w:sz w:val="22"/>
          <w:szCs w:val="22"/>
        </w:rPr>
      </w:pPr>
    </w:p>
    <w:p w:rsidR="009B7C8B" w:rsidRDefault="009B7C8B" w:rsidP="00801F91">
      <w:pPr>
        <w:spacing w:line="360" w:lineRule="auto"/>
        <w:ind w:left="-360" w:right="42"/>
        <w:jc w:val="center"/>
        <w:rPr>
          <w:b/>
          <w:bCs/>
          <w:sz w:val="22"/>
          <w:szCs w:val="22"/>
        </w:rPr>
      </w:pPr>
    </w:p>
    <w:p w:rsidR="009B7C8B" w:rsidRDefault="009B7C8B" w:rsidP="00801F91">
      <w:pPr>
        <w:spacing w:line="360" w:lineRule="auto"/>
        <w:ind w:left="-360" w:right="42"/>
        <w:jc w:val="center"/>
        <w:rPr>
          <w:b/>
          <w:bCs/>
          <w:sz w:val="22"/>
          <w:szCs w:val="22"/>
        </w:rPr>
      </w:pPr>
    </w:p>
    <w:p w:rsidR="009B7C8B" w:rsidRDefault="009B7C8B" w:rsidP="00801F91">
      <w:pPr>
        <w:spacing w:line="360" w:lineRule="auto"/>
        <w:ind w:left="-360" w:right="42"/>
        <w:jc w:val="center"/>
        <w:rPr>
          <w:b/>
          <w:bCs/>
          <w:sz w:val="22"/>
          <w:szCs w:val="22"/>
        </w:rPr>
      </w:pPr>
    </w:p>
    <w:p w:rsidR="009B7C8B" w:rsidRDefault="009B7C8B" w:rsidP="00801F91">
      <w:pPr>
        <w:spacing w:line="360" w:lineRule="auto"/>
        <w:ind w:left="-360" w:right="42"/>
        <w:jc w:val="center"/>
        <w:rPr>
          <w:b/>
          <w:bCs/>
          <w:sz w:val="22"/>
          <w:szCs w:val="22"/>
        </w:rPr>
      </w:pPr>
      <w:r>
        <w:rPr>
          <w:b/>
          <w:bCs/>
          <w:sz w:val="22"/>
          <w:szCs w:val="22"/>
        </w:rPr>
        <w:lastRenderedPageBreak/>
        <w:t>Net ihracat katkısı negatif</w:t>
      </w:r>
    </w:p>
    <w:p w:rsidR="009B7C8B" w:rsidRDefault="009B7C8B" w:rsidP="00801F91">
      <w:pPr>
        <w:spacing w:line="360" w:lineRule="auto"/>
        <w:ind w:left="-360" w:right="42"/>
        <w:jc w:val="center"/>
        <w:rPr>
          <w:b/>
          <w:bCs/>
          <w:sz w:val="22"/>
          <w:szCs w:val="22"/>
        </w:rPr>
      </w:pPr>
    </w:p>
    <w:p w:rsidR="009B7C8B" w:rsidRDefault="009B7C8B" w:rsidP="00060119">
      <w:pPr>
        <w:spacing w:line="360" w:lineRule="auto"/>
        <w:ind w:left="-360" w:right="42"/>
        <w:jc w:val="both"/>
        <w:rPr>
          <w:sz w:val="22"/>
          <w:szCs w:val="22"/>
        </w:rPr>
      </w:pPr>
      <w:r>
        <w:rPr>
          <w:sz w:val="22"/>
          <w:szCs w:val="22"/>
        </w:rPr>
        <w:t>Şekil 2 TÜİK’in açıkladığı mevsim ve takvim etkisinden arındırılmış ihracat ve ithalat miktar endekslerini gösteriyor. Nisan ayında bir önceki çeyreğe göre ihracat miktar endeksi yüzde 3,9 azalırken, ithalat miktar endeksi yüzde 9,7 arttı</w:t>
      </w:r>
      <w:r w:rsidRPr="00226D50">
        <w:rPr>
          <w:sz w:val="22"/>
          <w:szCs w:val="22"/>
        </w:rPr>
        <w:t>.</w:t>
      </w:r>
      <w:r>
        <w:rPr>
          <w:sz w:val="22"/>
          <w:szCs w:val="22"/>
        </w:rPr>
        <w:t xml:space="preserve"> Altından arındırılmış reel ihracat ve reel ithalat ise Nisan ayında sırasıyla yüzde 2,9 ve yüzde 11 arttı. Türkiye iç talebe dayalı büyümeye rejimine girerken, dış talebin bundan sonra genel olarak büyümeye negatif katkı yapmasını bekliyoruz.</w:t>
      </w:r>
    </w:p>
    <w:p w:rsidR="009B7C8B" w:rsidRDefault="009B7C8B" w:rsidP="00EA5EA9">
      <w:pPr>
        <w:spacing w:line="360" w:lineRule="auto"/>
        <w:ind w:right="42"/>
        <w:rPr>
          <w:b/>
          <w:bCs/>
          <w:sz w:val="22"/>
          <w:szCs w:val="22"/>
        </w:rPr>
      </w:pPr>
    </w:p>
    <w:p w:rsidR="009B7C8B" w:rsidRDefault="009B7C8B" w:rsidP="00EA5EA9">
      <w:pPr>
        <w:spacing w:line="360" w:lineRule="auto"/>
        <w:ind w:right="42"/>
        <w:jc w:val="center"/>
        <w:rPr>
          <w:b/>
          <w:bCs/>
          <w:sz w:val="22"/>
          <w:szCs w:val="22"/>
        </w:rPr>
      </w:pPr>
      <w:r>
        <w:rPr>
          <w:b/>
          <w:bCs/>
          <w:sz w:val="22"/>
          <w:szCs w:val="22"/>
        </w:rPr>
        <w:t>Cari açık Nisan’da arttı</w:t>
      </w:r>
    </w:p>
    <w:p w:rsidR="009B7C8B" w:rsidRPr="003A3575" w:rsidRDefault="009B7C8B" w:rsidP="00EA5EA9">
      <w:pPr>
        <w:spacing w:line="360" w:lineRule="auto"/>
        <w:ind w:right="42"/>
        <w:jc w:val="center"/>
        <w:rPr>
          <w:b/>
          <w:bCs/>
          <w:sz w:val="22"/>
          <w:szCs w:val="22"/>
        </w:rPr>
      </w:pPr>
    </w:p>
    <w:p w:rsidR="009B7C8B" w:rsidRDefault="009B7C8B" w:rsidP="00EA5EA9">
      <w:pPr>
        <w:spacing w:line="360" w:lineRule="auto"/>
        <w:ind w:left="-360" w:right="42"/>
        <w:jc w:val="both"/>
        <w:rPr>
          <w:sz w:val="22"/>
          <w:szCs w:val="22"/>
        </w:rPr>
      </w:pPr>
      <w:r>
        <w:rPr>
          <w:sz w:val="22"/>
          <w:szCs w:val="22"/>
        </w:rPr>
        <w:t xml:space="preserve">İthalattaki yüksek artış ile Nisan ayında cari açık geçtiğimiz seneye göre 4,2 milyar dolar artarak 8,2 milyar dolar oldu. Mart ayı sonunda 12 aylık cari açık toplamı 47,7 milyar dolardan Nisan sonunda 53,1 milyar dolara yükseldi. Nisan ayında altın ticaretinin cari açık üzerinde yaklaşık 2,2 milyar dolar artırıcı etkisi oldu. Betam 2013 ilk çeyrek sonunda 5,9 olan cari açığın GSYH’a oranının birinci çeyrekte yüzde 6,2’ye çıkacağını tahmin ediyor. </w:t>
      </w:r>
    </w:p>
    <w:p w:rsidR="009B7C8B" w:rsidRDefault="009B7C8B" w:rsidP="00EA5EA9">
      <w:pPr>
        <w:spacing w:line="360" w:lineRule="auto"/>
        <w:ind w:left="-360" w:right="42"/>
        <w:jc w:val="both"/>
        <w:rPr>
          <w:sz w:val="22"/>
          <w:szCs w:val="22"/>
        </w:rPr>
      </w:pPr>
    </w:p>
    <w:p w:rsidR="009B7C8B" w:rsidRDefault="009B7C8B" w:rsidP="00EA5EA9">
      <w:pPr>
        <w:spacing w:line="360" w:lineRule="auto"/>
        <w:ind w:left="-360" w:right="42"/>
        <w:jc w:val="both"/>
        <w:rPr>
          <w:sz w:val="22"/>
          <w:szCs w:val="22"/>
        </w:rPr>
      </w:pPr>
      <w:r>
        <w:rPr>
          <w:sz w:val="22"/>
          <w:szCs w:val="22"/>
        </w:rPr>
        <w:t>Nisan ayında Türkiye’ye sermaye girişleri oldukça güçlüydü. Toplamda 16,8 milyar dolar sermaye girişi gerçekleşti. Bunlar ağırlıklı olarak portföy yatırımları, kredi ve mevduatlardaki artıştan kaynaklandı. Merkez Bankası rezervleri 7,2 milyar dolar arttı. Bunun 6 milyar doları menkul kıymet artışı olarak rezervlere girdi.</w:t>
      </w:r>
    </w:p>
    <w:p w:rsidR="009B7C8B" w:rsidRDefault="009B7C8B" w:rsidP="006335A2">
      <w:pPr>
        <w:spacing w:line="360" w:lineRule="auto"/>
        <w:ind w:left="-360" w:right="42"/>
        <w:jc w:val="both"/>
        <w:rPr>
          <w:sz w:val="22"/>
          <w:szCs w:val="22"/>
        </w:rPr>
        <w:sectPr w:rsidR="009B7C8B" w:rsidSect="000F0C2B">
          <w:type w:val="continuous"/>
          <w:pgSz w:w="11906" w:h="16838"/>
          <w:pgMar w:top="1417" w:right="1417" w:bottom="1417" w:left="1417" w:header="708" w:footer="708" w:gutter="0"/>
          <w:cols w:num="2" w:space="708" w:equalWidth="0">
            <w:col w:w="4182" w:space="708"/>
            <w:col w:w="4182"/>
          </w:cols>
          <w:docGrid w:linePitch="360"/>
        </w:sectPr>
      </w:pPr>
      <w:r>
        <w:rPr>
          <w:sz w:val="22"/>
          <w:szCs w:val="22"/>
        </w:rPr>
        <w:t xml:space="preserve">   </w:t>
      </w:r>
    </w:p>
    <w:p w:rsidR="009B7C8B" w:rsidRDefault="009B7C8B" w:rsidP="008A0F64">
      <w:pPr>
        <w:spacing w:line="360" w:lineRule="auto"/>
        <w:ind w:right="42"/>
        <w:jc w:val="both"/>
        <w:rPr>
          <w:b/>
          <w:bCs/>
          <w:sz w:val="22"/>
          <w:szCs w:val="22"/>
        </w:rPr>
      </w:pPr>
    </w:p>
    <w:p w:rsidR="009B7C8B" w:rsidRDefault="009B7C8B" w:rsidP="008A0F64">
      <w:pPr>
        <w:spacing w:line="360" w:lineRule="auto"/>
        <w:ind w:right="42"/>
        <w:jc w:val="both"/>
        <w:rPr>
          <w:b/>
          <w:bCs/>
          <w:sz w:val="22"/>
          <w:szCs w:val="22"/>
        </w:rPr>
      </w:pPr>
    </w:p>
    <w:p w:rsidR="009B7C8B" w:rsidRDefault="009B7C8B" w:rsidP="008A0F64">
      <w:pPr>
        <w:spacing w:line="360" w:lineRule="auto"/>
        <w:ind w:right="42"/>
        <w:jc w:val="both"/>
        <w:rPr>
          <w:b/>
          <w:bCs/>
          <w:sz w:val="22"/>
          <w:szCs w:val="22"/>
        </w:rPr>
      </w:pPr>
    </w:p>
    <w:p w:rsidR="009B7C8B" w:rsidRPr="009B33E7" w:rsidRDefault="009B7C8B" w:rsidP="008A0F64">
      <w:pPr>
        <w:spacing w:line="360" w:lineRule="auto"/>
        <w:ind w:right="42"/>
        <w:jc w:val="both"/>
        <w:rPr>
          <w:sz w:val="22"/>
          <w:szCs w:val="22"/>
        </w:rPr>
      </w:pPr>
      <w:r w:rsidRPr="008C6E50">
        <w:rPr>
          <w:b/>
          <w:bCs/>
          <w:sz w:val="22"/>
          <w:szCs w:val="22"/>
        </w:rPr>
        <w:lastRenderedPageBreak/>
        <w:t>Tablo</w:t>
      </w:r>
      <w:r>
        <w:rPr>
          <w:b/>
          <w:bCs/>
          <w:sz w:val="22"/>
          <w:szCs w:val="22"/>
        </w:rPr>
        <w:t xml:space="preserve"> 2</w:t>
      </w:r>
      <w:r w:rsidRPr="008C6E50">
        <w:rPr>
          <w:b/>
          <w:bCs/>
          <w:sz w:val="22"/>
          <w:szCs w:val="22"/>
        </w:rPr>
        <w:t>. Ekonomik göstergelerin aydan aya ve çeyrekten çeyreğe değişimleri (Reel ve MEA)</w:t>
      </w: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0"/>
        <w:gridCol w:w="964"/>
        <w:gridCol w:w="964"/>
        <w:gridCol w:w="964"/>
        <w:gridCol w:w="965"/>
        <w:gridCol w:w="964"/>
        <w:gridCol w:w="964"/>
        <w:gridCol w:w="965"/>
      </w:tblGrid>
      <w:tr w:rsidR="009B7C8B">
        <w:trPr>
          <w:trHeight w:val="607"/>
        </w:trPr>
        <w:tc>
          <w:tcPr>
            <w:tcW w:w="3330" w:type="dxa"/>
            <w:vAlign w:val="center"/>
          </w:tcPr>
          <w:p w:rsidR="009B7C8B" w:rsidRPr="00261A05" w:rsidRDefault="009B7C8B" w:rsidP="00261A05">
            <w:pPr>
              <w:ind w:right="42"/>
              <w:jc w:val="center"/>
              <w:rPr>
                <w:b/>
                <w:bCs/>
              </w:rPr>
            </w:pPr>
            <w:r w:rsidRPr="00261A05">
              <w:rPr>
                <w:b/>
                <w:bCs/>
                <w:sz w:val="22"/>
                <w:szCs w:val="22"/>
              </w:rPr>
              <w:t>Ekonomik Göstergeler</w:t>
            </w:r>
          </w:p>
        </w:tc>
        <w:tc>
          <w:tcPr>
            <w:tcW w:w="964" w:type="dxa"/>
            <w:vAlign w:val="center"/>
          </w:tcPr>
          <w:p w:rsidR="009B7C8B" w:rsidRPr="00261A05" w:rsidRDefault="009B7C8B" w:rsidP="007E0498">
            <w:pPr>
              <w:ind w:right="42"/>
              <w:jc w:val="center"/>
              <w:rPr>
                <w:b/>
                <w:bCs/>
              </w:rPr>
            </w:pPr>
            <w:r w:rsidRPr="00261A05">
              <w:rPr>
                <w:b/>
                <w:bCs/>
                <w:sz w:val="22"/>
                <w:szCs w:val="22"/>
              </w:rPr>
              <w:t>Ocak</w:t>
            </w:r>
          </w:p>
        </w:tc>
        <w:tc>
          <w:tcPr>
            <w:tcW w:w="964" w:type="dxa"/>
            <w:vAlign w:val="center"/>
          </w:tcPr>
          <w:p w:rsidR="009B7C8B" w:rsidRPr="00261A05" w:rsidRDefault="009B7C8B" w:rsidP="007E0498">
            <w:pPr>
              <w:ind w:right="42"/>
              <w:jc w:val="center"/>
              <w:rPr>
                <w:b/>
                <w:bCs/>
              </w:rPr>
            </w:pPr>
            <w:r w:rsidRPr="00261A05">
              <w:rPr>
                <w:b/>
                <w:bCs/>
                <w:sz w:val="22"/>
                <w:szCs w:val="22"/>
              </w:rPr>
              <w:t>Şubat</w:t>
            </w:r>
          </w:p>
        </w:tc>
        <w:tc>
          <w:tcPr>
            <w:tcW w:w="964" w:type="dxa"/>
            <w:vAlign w:val="center"/>
          </w:tcPr>
          <w:p w:rsidR="009B7C8B" w:rsidRPr="00261A05" w:rsidRDefault="009B7C8B" w:rsidP="007E0498">
            <w:pPr>
              <w:ind w:right="42"/>
              <w:jc w:val="center"/>
              <w:rPr>
                <w:b/>
                <w:bCs/>
              </w:rPr>
            </w:pPr>
            <w:r w:rsidRPr="00261A05">
              <w:rPr>
                <w:b/>
                <w:bCs/>
                <w:sz w:val="22"/>
                <w:szCs w:val="22"/>
              </w:rPr>
              <w:t>Mart</w:t>
            </w:r>
          </w:p>
        </w:tc>
        <w:tc>
          <w:tcPr>
            <w:tcW w:w="965" w:type="dxa"/>
            <w:vAlign w:val="center"/>
          </w:tcPr>
          <w:p w:rsidR="009B7C8B" w:rsidRPr="00261A05" w:rsidRDefault="009B7C8B" w:rsidP="007E0498">
            <w:pPr>
              <w:ind w:right="42"/>
              <w:jc w:val="center"/>
              <w:rPr>
                <w:b/>
                <w:bCs/>
              </w:rPr>
            </w:pPr>
            <w:r>
              <w:rPr>
                <w:b/>
                <w:bCs/>
              </w:rPr>
              <w:t>Nisan</w:t>
            </w:r>
          </w:p>
        </w:tc>
        <w:tc>
          <w:tcPr>
            <w:tcW w:w="964" w:type="dxa"/>
            <w:tcBorders>
              <w:right w:val="double" w:sz="4" w:space="0" w:color="auto"/>
            </w:tcBorders>
            <w:vAlign w:val="center"/>
          </w:tcPr>
          <w:p w:rsidR="009B7C8B" w:rsidRPr="00261A05" w:rsidRDefault="009B7C8B" w:rsidP="00261A05">
            <w:pPr>
              <w:ind w:right="42"/>
              <w:jc w:val="center"/>
              <w:rPr>
                <w:b/>
                <w:bCs/>
              </w:rPr>
            </w:pPr>
            <w:r>
              <w:rPr>
                <w:b/>
                <w:bCs/>
              </w:rPr>
              <w:t>Mayıs</w:t>
            </w:r>
          </w:p>
        </w:tc>
        <w:tc>
          <w:tcPr>
            <w:tcW w:w="964" w:type="dxa"/>
            <w:tcBorders>
              <w:left w:val="double" w:sz="4" w:space="0" w:color="auto"/>
            </w:tcBorders>
            <w:vAlign w:val="center"/>
          </w:tcPr>
          <w:p w:rsidR="009B7C8B" w:rsidRPr="00261A05" w:rsidRDefault="009B7C8B" w:rsidP="00261A05">
            <w:pPr>
              <w:ind w:right="42"/>
              <w:jc w:val="center"/>
              <w:rPr>
                <w:b/>
                <w:bCs/>
              </w:rPr>
            </w:pPr>
            <w:r>
              <w:rPr>
                <w:b/>
                <w:bCs/>
                <w:sz w:val="22"/>
                <w:szCs w:val="22"/>
              </w:rPr>
              <w:t>2013 1</w:t>
            </w:r>
            <w:r w:rsidRPr="00261A05">
              <w:rPr>
                <w:b/>
                <w:bCs/>
                <w:sz w:val="22"/>
                <w:szCs w:val="22"/>
              </w:rPr>
              <w:t>. Çeyrek</w:t>
            </w:r>
          </w:p>
        </w:tc>
        <w:tc>
          <w:tcPr>
            <w:tcW w:w="965" w:type="dxa"/>
            <w:vAlign w:val="center"/>
          </w:tcPr>
          <w:p w:rsidR="009B7C8B" w:rsidRPr="00261A05" w:rsidRDefault="009B7C8B" w:rsidP="00261A05">
            <w:pPr>
              <w:ind w:right="42"/>
              <w:jc w:val="center"/>
              <w:rPr>
                <w:b/>
                <w:bCs/>
              </w:rPr>
            </w:pPr>
            <w:r>
              <w:rPr>
                <w:b/>
                <w:bCs/>
                <w:sz w:val="22"/>
                <w:szCs w:val="22"/>
              </w:rPr>
              <w:t>2013 2</w:t>
            </w:r>
            <w:r w:rsidRPr="00261A05">
              <w:rPr>
                <w:b/>
                <w:bCs/>
                <w:sz w:val="22"/>
                <w:szCs w:val="22"/>
              </w:rPr>
              <w:t>. Çeyrek</w:t>
            </w:r>
          </w:p>
        </w:tc>
      </w:tr>
      <w:tr w:rsidR="009B7C8B">
        <w:trPr>
          <w:trHeight w:val="370"/>
        </w:trPr>
        <w:tc>
          <w:tcPr>
            <w:tcW w:w="3330" w:type="dxa"/>
            <w:vAlign w:val="center"/>
          </w:tcPr>
          <w:p w:rsidR="009B7C8B" w:rsidRPr="00261A05" w:rsidRDefault="009B7C8B" w:rsidP="00261A05">
            <w:pPr>
              <w:ind w:right="42"/>
              <w:jc w:val="center"/>
              <w:rPr>
                <w:b/>
                <w:bCs/>
              </w:rPr>
            </w:pPr>
            <w:r w:rsidRPr="00261A05">
              <w:rPr>
                <w:b/>
                <w:bCs/>
                <w:sz w:val="22"/>
                <w:szCs w:val="22"/>
              </w:rPr>
              <w:t>İhracat</w:t>
            </w:r>
          </w:p>
        </w:tc>
        <w:tc>
          <w:tcPr>
            <w:tcW w:w="964" w:type="dxa"/>
            <w:vAlign w:val="center"/>
          </w:tcPr>
          <w:p w:rsidR="009B7C8B" w:rsidRPr="00261A05" w:rsidRDefault="009B7C8B" w:rsidP="00261A05">
            <w:pPr>
              <w:ind w:right="42"/>
              <w:jc w:val="center"/>
              <w:rPr>
                <w:b/>
                <w:bCs/>
              </w:rPr>
            </w:pPr>
            <w:r>
              <w:rPr>
                <w:b/>
                <w:bCs/>
              </w:rPr>
              <w:t>-0,1</w:t>
            </w:r>
          </w:p>
        </w:tc>
        <w:tc>
          <w:tcPr>
            <w:tcW w:w="964" w:type="dxa"/>
            <w:vAlign w:val="center"/>
          </w:tcPr>
          <w:p w:rsidR="009B7C8B" w:rsidRPr="00261A05" w:rsidRDefault="009B7C8B" w:rsidP="00261A05">
            <w:pPr>
              <w:ind w:right="42"/>
              <w:jc w:val="center"/>
              <w:rPr>
                <w:b/>
                <w:bCs/>
              </w:rPr>
            </w:pPr>
            <w:r>
              <w:rPr>
                <w:b/>
                <w:bCs/>
              </w:rPr>
              <w:t>4,4</w:t>
            </w:r>
          </w:p>
        </w:tc>
        <w:tc>
          <w:tcPr>
            <w:tcW w:w="964" w:type="dxa"/>
            <w:vAlign w:val="center"/>
          </w:tcPr>
          <w:p w:rsidR="009B7C8B" w:rsidRPr="00261A05" w:rsidRDefault="009B7C8B" w:rsidP="00261A05">
            <w:pPr>
              <w:ind w:right="42"/>
              <w:jc w:val="center"/>
              <w:rPr>
                <w:b/>
                <w:bCs/>
              </w:rPr>
            </w:pPr>
            <w:r>
              <w:rPr>
                <w:b/>
                <w:bCs/>
              </w:rPr>
              <w:t>-2,3</w:t>
            </w:r>
          </w:p>
        </w:tc>
        <w:tc>
          <w:tcPr>
            <w:tcW w:w="965" w:type="dxa"/>
            <w:vAlign w:val="center"/>
          </w:tcPr>
          <w:p w:rsidR="009B7C8B" w:rsidRPr="00261A05" w:rsidRDefault="009B7C8B" w:rsidP="00261A05">
            <w:pPr>
              <w:ind w:right="42"/>
              <w:jc w:val="center"/>
              <w:rPr>
                <w:b/>
                <w:bCs/>
              </w:rPr>
            </w:pPr>
            <w:r>
              <w:rPr>
                <w:b/>
                <w:bCs/>
              </w:rPr>
              <w:t>-3,9</w:t>
            </w:r>
          </w:p>
        </w:tc>
        <w:tc>
          <w:tcPr>
            <w:tcW w:w="964" w:type="dxa"/>
            <w:tcBorders>
              <w:right w:val="double" w:sz="4" w:space="0" w:color="auto"/>
            </w:tcBorders>
            <w:vAlign w:val="center"/>
          </w:tcPr>
          <w:p w:rsidR="009B7C8B" w:rsidRPr="00261A05" w:rsidRDefault="009B7C8B" w:rsidP="00261A05">
            <w:pPr>
              <w:ind w:right="42"/>
              <w:jc w:val="center"/>
            </w:pPr>
            <w:r>
              <w:t>**</w:t>
            </w:r>
          </w:p>
        </w:tc>
        <w:tc>
          <w:tcPr>
            <w:tcW w:w="964" w:type="dxa"/>
            <w:tcBorders>
              <w:left w:val="double" w:sz="4" w:space="0" w:color="auto"/>
            </w:tcBorders>
            <w:vAlign w:val="center"/>
          </w:tcPr>
          <w:p w:rsidR="009B7C8B" w:rsidRPr="00261A05" w:rsidRDefault="009B7C8B" w:rsidP="00261A05">
            <w:pPr>
              <w:ind w:right="42"/>
              <w:jc w:val="center"/>
              <w:rPr>
                <w:b/>
                <w:bCs/>
              </w:rPr>
            </w:pPr>
            <w:r>
              <w:rPr>
                <w:b/>
                <w:bCs/>
              </w:rPr>
              <w:t>-2,4</w:t>
            </w:r>
          </w:p>
        </w:tc>
        <w:tc>
          <w:tcPr>
            <w:tcW w:w="965" w:type="dxa"/>
            <w:vAlign w:val="center"/>
          </w:tcPr>
          <w:p w:rsidR="009B7C8B" w:rsidRPr="00261A05" w:rsidRDefault="009B7C8B" w:rsidP="00261A05">
            <w:pPr>
              <w:ind w:right="42"/>
              <w:jc w:val="center"/>
              <w:rPr>
                <w:b/>
                <w:bCs/>
              </w:rPr>
            </w:pPr>
            <w:r>
              <w:rPr>
                <w:b/>
                <w:bCs/>
              </w:rPr>
              <w:t>-4,0</w:t>
            </w:r>
          </w:p>
        </w:tc>
      </w:tr>
      <w:tr w:rsidR="009B7C8B">
        <w:trPr>
          <w:trHeight w:val="370"/>
        </w:trPr>
        <w:tc>
          <w:tcPr>
            <w:tcW w:w="3330" w:type="dxa"/>
            <w:tcBorders>
              <w:bottom w:val="nil"/>
            </w:tcBorders>
            <w:vAlign w:val="center"/>
          </w:tcPr>
          <w:p w:rsidR="009B7C8B" w:rsidRPr="00261A05" w:rsidRDefault="009B7C8B" w:rsidP="00261A05">
            <w:pPr>
              <w:ind w:right="42"/>
              <w:jc w:val="center"/>
              <w:rPr>
                <w:b/>
                <w:bCs/>
              </w:rPr>
            </w:pPr>
            <w:r w:rsidRPr="00261A05">
              <w:rPr>
                <w:b/>
                <w:bCs/>
                <w:sz w:val="22"/>
                <w:szCs w:val="22"/>
              </w:rPr>
              <w:t>İthalat</w:t>
            </w:r>
          </w:p>
        </w:tc>
        <w:tc>
          <w:tcPr>
            <w:tcW w:w="964" w:type="dxa"/>
            <w:tcBorders>
              <w:bottom w:val="nil"/>
            </w:tcBorders>
            <w:vAlign w:val="center"/>
          </w:tcPr>
          <w:p w:rsidR="009B7C8B" w:rsidRPr="00261A05" w:rsidRDefault="009B7C8B" w:rsidP="00261A05">
            <w:pPr>
              <w:ind w:right="42"/>
              <w:jc w:val="center"/>
              <w:rPr>
                <w:b/>
                <w:bCs/>
              </w:rPr>
            </w:pPr>
            <w:r>
              <w:rPr>
                <w:b/>
                <w:bCs/>
              </w:rPr>
              <w:t>5,9</w:t>
            </w:r>
          </w:p>
        </w:tc>
        <w:tc>
          <w:tcPr>
            <w:tcW w:w="964" w:type="dxa"/>
            <w:tcBorders>
              <w:bottom w:val="nil"/>
            </w:tcBorders>
            <w:vAlign w:val="center"/>
          </w:tcPr>
          <w:p w:rsidR="009B7C8B" w:rsidRPr="00261A05" w:rsidRDefault="009B7C8B" w:rsidP="00261A05">
            <w:pPr>
              <w:ind w:right="42"/>
              <w:jc w:val="center"/>
              <w:rPr>
                <w:b/>
                <w:bCs/>
              </w:rPr>
            </w:pPr>
            <w:r>
              <w:rPr>
                <w:b/>
                <w:bCs/>
              </w:rPr>
              <w:t>2,7</w:t>
            </w:r>
          </w:p>
        </w:tc>
        <w:tc>
          <w:tcPr>
            <w:tcW w:w="964" w:type="dxa"/>
            <w:tcBorders>
              <w:bottom w:val="nil"/>
            </w:tcBorders>
            <w:vAlign w:val="center"/>
          </w:tcPr>
          <w:p w:rsidR="009B7C8B" w:rsidRPr="00261A05" w:rsidRDefault="009B7C8B" w:rsidP="00261A05">
            <w:pPr>
              <w:ind w:right="42"/>
              <w:jc w:val="center"/>
              <w:rPr>
                <w:b/>
                <w:bCs/>
              </w:rPr>
            </w:pPr>
            <w:r>
              <w:rPr>
                <w:b/>
                <w:bCs/>
              </w:rPr>
              <w:t>-1,3</w:t>
            </w:r>
          </w:p>
        </w:tc>
        <w:tc>
          <w:tcPr>
            <w:tcW w:w="965" w:type="dxa"/>
            <w:tcBorders>
              <w:bottom w:val="nil"/>
            </w:tcBorders>
            <w:vAlign w:val="center"/>
          </w:tcPr>
          <w:p w:rsidR="009B7C8B" w:rsidRPr="00261A05" w:rsidRDefault="009B7C8B" w:rsidP="00261A05">
            <w:pPr>
              <w:ind w:right="42"/>
              <w:jc w:val="center"/>
              <w:rPr>
                <w:b/>
                <w:bCs/>
              </w:rPr>
            </w:pPr>
            <w:r>
              <w:rPr>
                <w:b/>
                <w:bCs/>
              </w:rPr>
              <w:t>9,7</w:t>
            </w:r>
          </w:p>
        </w:tc>
        <w:tc>
          <w:tcPr>
            <w:tcW w:w="964" w:type="dxa"/>
            <w:tcBorders>
              <w:bottom w:val="nil"/>
              <w:right w:val="double" w:sz="4" w:space="0" w:color="auto"/>
            </w:tcBorders>
            <w:vAlign w:val="center"/>
          </w:tcPr>
          <w:p w:rsidR="009B7C8B" w:rsidRPr="00261A05" w:rsidRDefault="009B7C8B" w:rsidP="00261A05">
            <w:pPr>
              <w:ind w:right="42"/>
              <w:jc w:val="center"/>
            </w:pPr>
            <w:r>
              <w:t>**</w:t>
            </w:r>
          </w:p>
        </w:tc>
        <w:tc>
          <w:tcPr>
            <w:tcW w:w="964" w:type="dxa"/>
            <w:tcBorders>
              <w:left w:val="double" w:sz="4" w:space="0" w:color="auto"/>
              <w:bottom w:val="nil"/>
            </w:tcBorders>
            <w:vAlign w:val="center"/>
          </w:tcPr>
          <w:p w:rsidR="009B7C8B" w:rsidRPr="00261A05" w:rsidRDefault="009B7C8B" w:rsidP="00261A05">
            <w:pPr>
              <w:ind w:right="42"/>
              <w:jc w:val="center"/>
              <w:rPr>
                <w:b/>
                <w:bCs/>
              </w:rPr>
            </w:pPr>
            <w:r>
              <w:rPr>
                <w:b/>
                <w:bCs/>
              </w:rPr>
              <w:t>4,7</w:t>
            </w:r>
          </w:p>
        </w:tc>
        <w:tc>
          <w:tcPr>
            <w:tcW w:w="965" w:type="dxa"/>
            <w:tcBorders>
              <w:bottom w:val="nil"/>
            </w:tcBorders>
            <w:vAlign w:val="center"/>
          </w:tcPr>
          <w:p w:rsidR="009B7C8B" w:rsidRPr="00261A05" w:rsidRDefault="009B7C8B" w:rsidP="00261A05">
            <w:pPr>
              <w:ind w:right="42"/>
              <w:jc w:val="center"/>
              <w:rPr>
                <w:b/>
                <w:bCs/>
              </w:rPr>
            </w:pPr>
            <w:r>
              <w:rPr>
                <w:b/>
                <w:bCs/>
              </w:rPr>
              <w:t>9,8</w:t>
            </w:r>
          </w:p>
        </w:tc>
      </w:tr>
      <w:tr w:rsidR="009B7C8B">
        <w:trPr>
          <w:trHeight w:val="370"/>
        </w:trPr>
        <w:tc>
          <w:tcPr>
            <w:tcW w:w="3330" w:type="dxa"/>
            <w:tcBorders>
              <w:top w:val="nil"/>
              <w:bottom w:val="nil"/>
            </w:tcBorders>
            <w:vAlign w:val="center"/>
          </w:tcPr>
          <w:p w:rsidR="009B7C8B" w:rsidRPr="00261A05" w:rsidRDefault="009B7C8B" w:rsidP="00261A05">
            <w:pPr>
              <w:ind w:right="42"/>
              <w:jc w:val="center"/>
            </w:pPr>
            <w:r w:rsidRPr="00261A05">
              <w:rPr>
                <w:sz w:val="22"/>
                <w:szCs w:val="22"/>
              </w:rPr>
              <w:t>Ara malı ithalatı</w:t>
            </w:r>
          </w:p>
        </w:tc>
        <w:tc>
          <w:tcPr>
            <w:tcW w:w="964" w:type="dxa"/>
            <w:tcBorders>
              <w:top w:val="nil"/>
              <w:bottom w:val="nil"/>
            </w:tcBorders>
            <w:vAlign w:val="center"/>
          </w:tcPr>
          <w:p w:rsidR="009B7C8B" w:rsidRPr="00261A05" w:rsidRDefault="009B7C8B" w:rsidP="00261A05">
            <w:pPr>
              <w:ind w:right="42"/>
              <w:jc w:val="center"/>
            </w:pPr>
            <w:r>
              <w:t>4,8</w:t>
            </w:r>
          </w:p>
        </w:tc>
        <w:tc>
          <w:tcPr>
            <w:tcW w:w="964" w:type="dxa"/>
            <w:tcBorders>
              <w:top w:val="nil"/>
              <w:bottom w:val="nil"/>
            </w:tcBorders>
            <w:vAlign w:val="center"/>
          </w:tcPr>
          <w:p w:rsidR="009B7C8B" w:rsidRPr="00261A05" w:rsidRDefault="009B7C8B" w:rsidP="00261A05">
            <w:pPr>
              <w:ind w:right="42"/>
              <w:jc w:val="center"/>
            </w:pPr>
            <w:r>
              <w:t>0,5</w:t>
            </w:r>
          </w:p>
        </w:tc>
        <w:tc>
          <w:tcPr>
            <w:tcW w:w="964" w:type="dxa"/>
            <w:tcBorders>
              <w:top w:val="nil"/>
              <w:bottom w:val="nil"/>
            </w:tcBorders>
            <w:vAlign w:val="center"/>
          </w:tcPr>
          <w:p w:rsidR="009B7C8B" w:rsidRPr="00261A05" w:rsidRDefault="009B7C8B" w:rsidP="00261A05">
            <w:pPr>
              <w:ind w:right="42"/>
              <w:jc w:val="center"/>
            </w:pPr>
            <w:r>
              <w:t>-2,5</w:t>
            </w:r>
          </w:p>
        </w:tc>
        <w:tc>
          <w:tcPr>
            <w:tcW w:w="965" w:type="dxa"/>
            <w:tcBorders>
              <w:top w:val="nil"/>
              <w:bottom w:val="nil"/>
            </w:tcBorders>
            <w:vAlign w:val="center"/>
          </w:tcPr>
          <w:p w:rsidR="009B7C8B" w:rsidRPr="00261A05" w:rsidRDefault="009B7C8B" w:rsidP="00261A05">
            <w:pPr>
              <w:ind w:right="42"/>
              <w:jc w:val="center"/>
            </w:pPr>
            <w:r>
              <w:t>17,9</w:t>
            </w:r>
          </w:p>
        </w:tc>
        <w:tc>
          <w:tcPr>
            <w:tcW w:w="964" w:type="dxa"/>
            <w:tcBorders>
              <w:top w:val="nil"/>
              <w:bottom w:val="nil"/>
              <w:right w:val="double" w:sz="4" w:space="0" w:color="auto"/>
            </w:tcBorders>
            <w:vAlign w:val="center"/>
          </w:tcPr>
          <w:p w:rsidR="009B7C8B" w:rsidRPr="00261A05" w:rsidRDefault="009B7C8B" w:rsidP="00261A05">
            <w:pPr>
              <w:ind w:right="42"/>
              <w:jc w:val="center"/>
            </w:pPr>
            <w:r>
              <w:t>**</w:t>
            </w:r>
          </w:p>
        </w:tc>
        <w:tc>
          <w:tcPr>
            <w:tcW w:w="964" w:type="dxa"/>
            <w:tcBorders>
              <w:top w:val="nil"/>
              <w:left w:val="double" w:sz="4" w:space="0" w:color="auto"/>
              <w:bottom w:val="nil"/>
            </w:tcBorders>
            <w:vAlign w:val="center"/>
          </w:tcPr>
          <w:p w:rsidR="009B7C8B" w:rsidRPr="00261A05" w:rsidRDefault="009B7C8B" w:rsidP="00261A05">
            <w:pPr>
              <w:ind w:right="42"/>
              <w:jc w:val="center"/>
            </w:pPr>
            <w:r>
              <w:t>2,4</w:t>
            </w:r>
          </w:p>
        </w:tc>
        <w:tc>
          <w:tcPr>
            <w:tcW w:w="965" w:type="dxa"/>
            <w:tcBorders>
              <w:top w:val="nil"/>
              <w:bottom w:val="nil"/>
            </w:tcBorders>
            <w:vAlign w:val="center"/>
          </w:tcPr>
          <w:p w:rsidR="009B7C8B" w:rsidRPr="00261A05" w:rsidRDefault="009B7C8B" w:rsidP="00261A05">
            <w:pPr>
              <w:ind w:right="42"/>
              <w:jc w:val="center"/>
            </w:pPr>
            <w:r>
              <w:t>16,1</w:t>
            </w:r>
          </w:p>
        </w:tc>
      </w:tr>
      <w:tr w:rsidR="009B7C8B">
        <w:trPr>
          <w:trHeight w:val="370"/>
        </w:trPr>
        <w:tc>
          <w:tcPr>
            <w:tcW w:w="3330" w:type="dxa"/>
            <w:tcBorders>
              <w:top w:val="nil"/>
              <w:bottom w:val="nil"/>
            </w:tcBorders>
            <w:vAlign w:val="center"/>
          </w:tcPr>
          <w:p w:rsidR="009B7C8B" w:rsidRPr="00261A05" w:rsidRDefault="009B7C8B" w:rsidP="00261A05">
            <w:pPr>
              <w:ind w:right="42"/>
              <w:jc w:val="center"/>
            </w:pPr>
            <w:r w:rsidRPr="00261A05">
              <w:rPr>
                <w:sz w:val="22"/>
                <w:szCs w:val="22"/>
              </w:rPr>
              <w:t>Tüketim malı ithalatı</w:t>
            </w:r>
          </w:p>
        </w:tc>
        <w:tc>
          <w:tcPr>
            <w:tcW w:w="964" w:type="dxa"/>
            <w:tcBorders>
              <w:top w:val="nil"/>
              <w:bottom w:val="nil"/>
            </w:tcBorders>
            <w:vAlign w:val="center"/>
          </w:tcPr>
          <w:p w:rsidR="009B7C8B" w:rsidRPr="00261A05" w:rsidRDefault="009B7C8B" w:rsidP="00261A05">
            <w:pPr>
              <w:ind w:right="42"/>
              <w:jc w:val="center"/>
            </w:pPr>
            <w:r>
              <w:t>9,3</w:t>
            </w:r>
          </w:p>
        </w:tc>
        <w:tc>
          <w:tcPr>
            <w:tcW w:w="964" w:type="dxa"/>
            <w:tcBorders>
              <w:top w:val="nil"/>
              <w:bottom w:val="nil"/>
            </w:tcBorders>
            <w:vAlign w:val="center"/>
          </w:tcPr>
          <w:p w:rsidR="009B7C8B" w:rsidRPr="00261A05" w:rsidRDefault="009B7C8B" w:rsidP="00261A05">
            <w:pPr>
              <w:ind w:right="42"/>
              <w:jc w:val="center"/>
            </w:pPr>
            <w:r>
              <w:t>6,5</w:t>
            </w:r>
          </w:p>
        </w:tc>
        <w:tc>
          <w:tcPr>
            <w:tcW w:w="964" w:type="dxa"/>
            <w:tcBorders>
              <w:top w:val="nil"/>
              <w:bottom w:val="nil"/>
            </w:tcBorders>
            <w:vAlign w:val="center"/>
          </w:tcPr>
          <w:p w:rsidR="009B7C8B" w:rsidRPr="00261A05" w:rsidRDefault="009B7C8B" w:rsidP="00261A05">
            <w:pPr>
              <w:ind w:right="42"/>
              <w:jc w:val="center"/>
            </w:pPr>
            <w:r>
              <w:t>6,4</w:t>
            </w:r>
          </w:p>
        </w:tc>
        <w:tc>
          <w:tcPr>
            <w:tcW w:w="965" w:type="dxa"/>
            <w:tcBorders>
              <w:top w:val="nil"/>
              <w:bottom w:val="nil"/>
            </w:tcBorders>
            <w:vAlign w:val="center"/>
          </w:tcPr>
          <w:p w:rsidR="009B7C8B" w:rsidRPr="00261A05" w:rsidRDefault="009B7C8B" w:rsidP="00261A05">
            <w:pPr>
              <w:ind w:right="42"/>
              <w:jc w:val="center"/>
            </w:pPr>
            <w:r>
              <w:t>-1,8</w:t>
            </w:r>
          </w:p>
        </w:tc>
        <w:tc>
          <w:tcPr>
            <w:tcW w:w="964" w:type="dxa"/>
            <w:tcBorders>
              <w:top w:val="nil"/>
              <w:bottom w:val="nil"/>
              <w:right w:val="double" w:sz="4" w:space="0" w:color="auto"/>
            </w:tcBorders>
            <w:vAlign w:val="center"/>
          </w:tcPr>
          <w:p w:rsidR="009B7C8B" w:rsidRPr="00261A05" w:rsidRDefault="009B7C8B" w:rsidP="00261A05">
            <w:pPr>
              <w:ind w:right="42"/>
              <w:jc w:val="center"/>
            </w:pPr>
            <w:r>
              <w:t>**</w:t>
            </w:r>
          </w:p>
        </w:tc>
        <w:tc>
          <w:tcPr>
            <w:tcW w:w="964" w:type="dxa"/>
            <w:tcBorders>
              <w:top w:val="nil"/>
              <w:left w:val="double" w:sz="4" w:space="0" w:color="auto"/>
              <w:bottom w:val="nil"/>
            </w:tcBorders>
            <w:vAlign w:val="center"/>
          </w:tcPr>
          <w:p w:rsidR="009B7C8B" w:rsidRPr="00261A05" w:rsidRDefault="009B7C8B" w:rsidP="00261A05">
            <w:pPr>
              <w:ind w:right="42"/>
              <w:jc w:val="center"/>
            </w:pPr>
            <w:r>
              <w:t>4,4</w:t>
            </w:r>
          </w:p>
        </w:tc>
        <w:tc>
          <w:tcPr>
            <w:tcW w:w="965" w:type="dxa"/>
            <w:tcBorders>
              <w:top w:val="nil"/>
              <w:bottom w:val="nil"/>
            </w:tcBorders>
            <w:vAlign w:val="center"/>
          </w:tcPr>
          <w:p w:rsidR="009B7C8B" w:rsidRPr="00261A05" w:rsidRDefault="009B7C8B" w:rsidP="00261A05">
            <w:pPr>
              <w:ind w:right="42"/>
              <w:jc w:val="center"/>
            </w:pPr>
            <w:r>
              <w:t>4,4</w:t>
            </w:r>
          </w:p>
        </w:tc>
      </w:tr>
      <w:tr w:rsidR="009B7C8B">
        <w:trPr>
          <w:trHeight w:val="370"/>
        </w:trPr>
        <w:tc>
          <w:tcPr>
            <w:tcW w:w="3330" w:type="dxa"/>
            <w:tcBorders>
              <w:top w:val="nil"/>
            </w:tcBorders>
            <w:vAlign w:val="center"/>
          </w:tcPr>
          <w:p w:rsidR="009B7C8B" w:rsidRPr="00261A05" w:rsidRDefault="009B7C8B" w:rsidP="00261A05">
            <w:pPr>
              <w:ind w:right="42"/>
              <w:jc w:val="center"/>
            </w:pPr>
            <w:r w:rsidRPr="00261A05">
              <w:rPr>
                <w:sz w:val="22"/>
                <w:szCs w:val="22"/>
              </w:rPr>
              <w:t>Yatırım malı ithalatı</w:t>
            </w:r>
          </w:p>
        </w:tc>
        <w:tc>
          <w:tcPr>
            <w:tcW w:w="964" w:type="dxa"/>
            <w:tcBorders>
              <w:top w:val="nil"/>
            </w:tcBorders>
            <w:vAlign w:val="center"/>
          </w:tcPr>
          <w:p w:rsidR="009B7C8B" w:rsidRPr="00261A05" w:rsidRDefault="009B7C8B" w:rsidP="00261A05">
            <w:pPr>
              <w:ind w:right="42"/>
              <w:jc w:val="center"/>
            </w:pPr>
            <w:r>
              <w:t>17,3</w:t>
            </w:r>
          </w:p>
        </w:tc>
        <w:tc>
          <w:tcPr>
            <w:tcW w:w="964" w:type="dxa"/>
            <w:tcBorders>
              <w:top w:val="nil"/>
            </w:tcBorders>
            <w:vAlign w:val="center"/>
          </w:tcPr>
          <w:p w:rsidR="009B7C8B" w:rsidRPr="00261A05" w:rsidRDefault="009B7C8B" w:rsidP="00261A05">
            <w:pPr>
              <w:ind w:right="42"/>
              <w:jc w:val="center"/>
            </w:pPr>
            <w:r>
              <w:t>-0,4</w:t>
            </w:r>
          </w:p>
        </w:tc>
        <w:tc>
          <w:tcPr>
            <w:tcW w:w="964" w:type="dxa"/>
            <w:tcBorders>
              <w:top w:val="nil"/>
            </w:tcBorders>
            <w:vAlign w:val="center"/>
          </w:tcPr>
          <w:p w:rsidR="009B7C8B" w:rsidRPr="00261A05" w:rsidRDefault="009B7C8B" w:rsidP="00261A05">
            <w:pPr>
              <w:ind w:right="42"/>
              <w:jc w:val="center"/>
            </w:pPr>
            <w:r>
              <w:t>-9,0</w:t>
            </w:r>
          </w:p>
        </w:tc>
        <w:tc>
          <w:tcPr>
            <w:tcW w:w="965" w:type="dxa"/>
            <w:tcBorders>
              <w:top w:val="nil"/>
            </w:tcBorders>
            <w:vAlign w:val="center"/>
          </w:tcPr>
          <w:p w:rsidR="009B7C8B" w:rsidRPr="00261A05" w:rsidRDefault="009B7C8B" w:rsidP="00261A05">
            <w:pPr>
              <w:ind w:right="42"/>
              <w:jc w:val="center"/>
            </w:pPr>
            <w:r>
              <w:t>14,6</w:t>
            </w:r>
          </w:p>
        </w:tc>
        <w:tc>
          <w:tcPr>
            <w:tcW w:w="964" w:type="dxa"/>
            <w:tcBorders>
              <w:top w:val="nil"/>
              <w:right w:val="double" w:sz="4" w:space="0" w:color="auto"/>
            </w:tcBorders>
            <w:vAlign w:val="center"/>
          </w:tcPr>
          <w:p w:rsidR="009B7C8B" w:rsidRPr="00261A05" w:rsidRDefault="009B7C8B" w:rsidP="00261A05">
            <w:pPr>
              <w:ind w:right="42"/>
              <w:jc w:val="center"/>
            </w:pPr>
            <w:r>
              <w:t>**</w:t>
            </w:r>
          </w:p>
        </w:tc>
        <w:tc>
          <w:tcPr>
            <w:tcW w:w="964" w:type="dxa"/>
            <w:tcBorders>
              <w:top w:val="nil"/>
              <w:left w:val="double" w:sz="4" w:space="0" w:color="auto"/>
            </w:tcBorders>
            <w:vAlign w:val="center"/>
          </w:tcPr>
          <w:p w:rsidR="009B7C8B" w:rsidRPr="00261A05" w:rsidRDefault="009B7C8B" w:rsidP="00261A05">
            <w:pPr>
              <w:ind w:right="42"/>
              <w:jc w:val="center"/>
            </w:pPr>
            <w:r>
              <w:t>7,4</w:t>
            </w:r>
          </w:p>
        </w:tc>
        <w:tc>
          <w:tcPr>
            <w:tcW w:w="965" w:type="dxa"/>
            <w:tcBorders>
              <w:top w:val="nil"/>
            </w:tcBorders>
            <w:vAlign w:val="center"/>
          </w:tcPr>
          <w:p w:rsidR="009B7C8B" w:rsidRPr="00261A05" w:rsidRDefault="009B7C8B" w:rsidP="00261A05">
            <w:pPr>
              <w:ind w:right="42"/>
              <w:jc w:val="center"/>
            </w:pPr>
            <w:r>
              <w:t>7,4</w:t>
            </w:r>
          </w:p>
        </w:tc>
      </w:tr>
      <w:tr w:rsidR="009B7C8B">
        <w:trPr>
          <w:trHeight w:val="370"/>
        </w:trPr>
        <w:tc>
          <w:tcPr>
            <w:tcW w:w="3330" w:type="dxa"/>
            <w:vAlign w:val="center"/>
          </w:tcPr>
          <w:p w:rsidR="009B7C8B" w:rsidRPr="00261A05" w:rsidRDefault="009B7C8B" w:rsidP="00261A05">
            <w:pPr>
              <w:ind w:right="42"/>
              <w:jc w:val="center"/>
              <w:rPr>
                <w:b/>
                <w:bCs/>
              </w:rPr>
            </w:pPr>
            <w:r w:rsidRPr="00261A05">
              <w:rPr>
                <w:b/>
                <w:bCs/>
                <w:sz w:val="22"/>
                <w:szCs w:val="22"/>
              </w:rPr>
              <w:t>Altın hariç ihracat</w:t>
            </w:r>
          </w:p>
        </w:tc>
        <w:tc>
          <w:tcPr>
            <w:tcW w:w="964" w:type="dxa"/>
            <w:vAlign w:val="center"/>
          </w:tcPr>
          <w:p w:rsidR="009B7C8B" w:rsidRPr="00261A05" w:rsidRDefault="009B7C8B" w:rsidP="00261A05">
            <w:pPr>
              <w:ind w:right="42"/>
              <w:jc w:val="center"/>
              <w:rPr>
                <w:b/>
                <w:bCs/>
              </w:rPr>
            </w:pPr>
            <w:r>
              <w:rPr>
                <w:b/>
                <w:bCs/>
              </w:rPr>
              <w:t>5,3</w:t>
            </w:r>
          </w:p>
        </w:tc>
        <w:tc>
          <w:tcPr>
            <w:tcW w:w="964" w:type="dxa"/>
            <w:vAlign w:val="center"/>
          </w:tcPr>
          <w:p w:rsidR="009B7C8B" w:rsidRPr="00261A05" w:rsidRDefault="009B7C8B" w:rsidP="00261A05">
            <w:pPr>
              <w:ind w:right="42"/>
              <w:jc w:val="center"/>
              <w:rPr>
                <w:b/>
                <w:bCs/>
              </w:rPr>
            </w:pPr>
            <w:r>
              <w:rPr>
                <w:b/>
                <w:bCs/>
              </w:rPr>
              <w:t>0,6</w:t>
            </w:r>
          </w:p>
        </w:tc>
        <w:tc>
          <w:tcPr>
            <w:tcW w:w="964" w:type="dxa"/>
            <w:vAlign w:val="center"/>
          </w:tcPr>
          <w:p w:rsidR="009B7C8B" w:rsidRPr="00261A05" w:rsidRDefault="009B7C8B" w:rsidP="00261A05">
            <w:pPr>
              <w:ind w:right="42"/>
              <w:jc w:val="center"/>
              <w:rPr>
                <w:b/>
                <w:bCs/>
              </w:rPr>
            </w:pPr>
            <w:r>
              <w:rPr>
                <w:b/>
                <w:bCs/>
              </w:rPr>
              <w:t>-1,7</w:t>
            </w:r>
          </w:p>
        </w:tc>
        <w:tc>
          <w:tcPr>
            <w:tcW w:w="965" w:type="dxa"/>
            <w:vAlign w:val="center"/>
          </w:tcPr>
          <w:p w:rsidR="009B7C8B" w:rsidRPr="00261A05" w:rsidRDefault="009B7C8B" w:rsidP="00261A05">
            <w:pPr>
              <w:ind w:right="42"/>
              <w:jc w:val="center"/>
              <w:rPr>
                <w:b/>
                <w:bCs/>
              </w:rPr>
            </w:pPr>
            <w:r>
              <w:rPr>
                <w:b/>
                <w:bCs/>
              </w:rPr>
              <w:t>2,9</w:t>
            </w:r>
          </w:p>
        </w:tc>
        <w:tc>
          <w:tcPr>
            <w:tcW w:w="964" w:type="dxa"/>
            <w:tcBorders>
              <w:right w:val="double" w:sz="4" w:space="0" w:color="auto"/>
            </w:tcBorders>
            <w:vAlign w:val="center"/>
          </w:tcPr>
          <w:p w:rsidR="009B7C8B" w:rsidRPr="00261A05" w:rsidRDefault="009B7C8B" w:rsidP="00261A05">
            <w:pPr>
              <w:ind w:right="42"/>
              <w:jc w:val="center"/>
            </w:pPr>
            <w:r>
              <w:t>**</w:t>
            </w:r>
          </w:p>
        </w:tc>
        <w:tc>
          <w:tcPr>
            <w:tcW w:w="964" w:type="dxa"/>
            <w:tcBorders>
              <w:left w:val="double" w:sz="4" w:space="0" w:color="auto"/>
            </w:tcBorders>
            <w:vAlign w:val="center"/>
          </w:tcPr>
          <w:p w:rsidR="009B7C8B" w:rsidRPr="00261A05" w:rsidRDefault="009B7C8B" w:rsidP="00261A05">
            <w:pPr>
              <w:ind w:right="42"/>
              <w:jc w:val="center"/>
              <w:rPr>
                <w:b/>
                <w:bCs/>
              </w:rPr>
            </w:pPr>
            <w:r>
              <w:rPr>
                <w:b/>
                <w:bCs/>
              </w:rPr>
              <w:t>1,0</w:t>
            </w:r>
          </w:p>
        </w:tc>
        <w:tc>
          <w:tcPr>
            <w:tcW w:w="965" w:type="dxa"/>
            <w:vAlign w:val="center"/>
          </w:tcPr>
          <w:p w:rsidR="009B7C8B" w:rsidRPr="00261A05" w:rsidRDefault="009B7C8B" w:rsidP="00261A05">
            <w:pPr>
              <w:ind w:right="42"/>
              <w:jc w:val="center"/>
              <w:rPr>
                <w:b/>
                <w:bCs/>
              </w:rPr>
            </w:pPr>
            <w:r>
              <w:rPr>
                <w:b/>
                <w:bCs/>
              </w:rPr>
              <w:t>2,0</w:t>
            </w:r>
          </w:p>
        </w:tc>
      </w:tr>
      <w:tr w:rsidR="009B7C8B">
        <w:trPr>
          <w:trHeight w:val="370"/>
        </w:trPr>
        <w:tc>
          <w:tcPr>
            <w:tcW w:w="3330" w:type="dxa"/>
            <w:vAlign w:val="center"/>
          </w:tcPr>
          <w:p w:rsidR="009B7C8B" w:rsidRPr="00261A05" w:rsidRDefault="009B7C8B" w:rsidP="00261A05">
            <w:pPr>
              <w:ind w:right="42"/>
              <w:jc w:val="center"/>
              <w:rPr>
                <w:b/>
                <w:bCs/>
              </w:rPr>
            </w:pPr>
            <w:r w:rsidRPr="00261A05">
              <w:rPr>
                <w:b/>
                <w:bCs/>
                <w:sz w:val="22"/>
                <w:szCs w:val="22"/>
              </w:rPr>
              <w:t>Altın hariç ithalat</w:t>
            </w:r>
          </w:p>
        </w:tc>
        <w:tc>
          <w:tcPr>
            <w:tcW w:w="964" w:type="dxa"/>
            <w:vAlign w:val="center"/>
          </w:tcPr>
          <w:p w:rsidR="009B7C8B" w:rsidRPr="00261A05" w:rsidRDefault="009B7C8B" w:rsidP="00261A05">
            <w:pPr>
              <w:ind w:right="42"/>
              <w:jc w:val="center"/>
              <w:rPr>
                <w:b/>
                <w:bCs/>
              </w:rPr>
            </w:pPr>
            <w:r>
              <w:rPr>
                <w:b/>
                <w:bCs/>
              </w:rPr>
              <w:t>10,2</w:t>
            </w:r>
          </w:p>
        </w:tc>
        <w:tc>
          <w:tcPr>
            <w:tcW w:w="964" w:type="dxa"/>
            <w:vAlign w:val="center"/>
          </w:tcPr>
          <w:p w:rsidR="009B7C8B" w:rsidRPr="00261A05" w:rsidRDefault="009B7C8B" w:rsidP="00261A05">
            <w:pPr>
              <w:ind w:right="42"/>
              <w:jc w:val="center"/>
              <w:rPr>
                <w:b/>
                <w:bCs/>
              </w:rPr>
            </w:pPr>
            <w:r>
              <w:rPr>
                <w:b/>
                <w:bCs/>
              </w:rPr>
              <w:t>-2,6</w:t>
            </w:r>
          </w:p>
        </w:tc>
        <w:tc>
          <w:tcPr>
            <w:tcW w:w="964" w:type="dxa"/>
            <w:vAlign w:val="center"/>
          </w:tcPr>
          <w:p w:rsidR="009B7C8B" w:rsidRPr="00261A05" w:rsidRDefault="009B7C8B" w:rsidP="00261A05">
            <w:pPr>
              <w:ind w:right="42"/>
              <w:jc w:val="center"/>
              <w:rPr>
                <w:b/>
                <w:bCs/>
              </w:rPr>
            </w:pPr>
            <w:r>
              <w:rPr>
                <w:b/>
                <w:bCs/>
              </w:rPr>
              <w:t>-2,6</w:t>
            </w:r>
          </w:p>
        </w:tc>
        <w:tc>
          <w:tcPr>
            <w:tcW w:w="965" w:type="dxa"/>
            <w:vAlign w:val="center"/>
          </w:tcPr>
          <w:p w:rsidR="009B7C8B" w:rsidRPr="00261A05" w:rsidRDefault="009B7C8B" w:rsidP="00261A05">
            <w:pPr>
              <w:ind w:right="42"/>
              <w:jc w:val="center"/>
              <w:rPr>
                <w:b/>
                <w:bCs/>
              </w:rPr>
            </w:pPr>
            <w:r>
              <w:rPr>
                <w:b/>
                <w:bCs/>
              </w:rPr>
              <w:t>11,0</w:t>
            </w:r>
          </w:p>
        </w:tc>
        <w:tc>
          <w:tcPr>
            <w:tcW w:w="964" w:type="dxa"/>
            <w:tcBorders>
              <w:right w:val="double" w:sz="4" w:space="0" w:color="auto"/>
            </w:tcBorders>
            <w:vAlign w:val="center"/>
          </w:tcPr>
          <w:p w:rsidR="009B7C8B" w:rsidRPr="00261A05" w:rsidRDefault="009B7C8B" w:rsidP="00261A05">
            <w:pPr>
              <w:ind w:right="42"/>
              <w:jc w:val="center"/>
            </w:pPr>
            <w:r>
              <w:t>**</w:t>
            </w:r>
          </w:p>
        </w:tc>
        <w:tc>
          <w:tcPr>
            <w:tcW w:w="964" w:type="dxa"/>
            <w:tcBorders>
              <w:left w:val="double" w:sz="4" w:space="0" w:color="auto"/>
            </w:tcBorders>
            <w:vAlign w:val="center"/>
          </w:tcPr>
          <w:p w:rsidR="009B7C8B" w:rsidRPr="00261A05" w:rsidRDefault="009B7C8B" w:rsidP="00261A05">
            <w:pPr>
              <w:ind w:right="42"/>
              <w:jc w:val="center"/>
              <w:rPr>
                <w:b/>
                <w:bCs/>
              </w:rPr>
            </w:pPr>
            <w:r>
              <w:rPr>
                <w:b/>
                <w:bCs/>
              </w:rPr>
              <w:t>0,2</w:t>
            </w:r>
          </w:p>
        </w:tc>
        <w:tc>
          <w:tcPr>
            <w:tcW w:w="965" w:type="dxa"/>
            <w:vAlign w:val="center"/>
          </w:tcPr>
          <w:p w:rsidR="009B7C8B" w:rsidRPr="00261A05" w:rsidRDefault="009B7C8B" w:rsidP="00261A05">
            <w:pPr>
              <w:ind w:right="42"/>
              <w:jc w:val="center"/>
              <w:rPr>
                <w:b/>
                <w:bCs/>
              </w:rPr>
            </w:pPr>
            <w:r>
              <w:rPr>
                <w:b/>
                <w:bCs/>
              </w:rPr>
              <w:t>8,1</w:t>
            </w:r>
          </w:p>
        </w:tc>
      </w:tr>
      <w:tr w:rsidR="009B7C8B">
        <w:trPr>
          <w:trHeight w:val="370"/>
        </w:trPr>
        <w:tc>
          <w:tcPr>
            <w:tcW w:w="3330" w:type="dxa"/>
            <w:tcBorders>
              <w:bottom w:val="nil"/>
            </w:tcBorders>
            <w:vAlign w:val="center"/>
          </w:tcPr>
          <w:p w:rsidR="009B7C8B" w:rsidRPr="00261A05" w:rsidRDefault="009B7C8B" w:rsidP="00261A05">
            <w:pPr>
              <w:ind w:right="42"/>
              <w:jc w:val="center"/>
              <w:rPr>
                <w:b/>
                <w:bCs/>
              </w:rPr>
            </w:pPr>
            <w:r w:rsidRPr="00261A05">
              <w:rPr>
                <w:b/>
                <w:bCs/>
                <w:sz w:val="22"/>
                <w:szCs w:val="22"/>
              </w:rPr>
              <w:t xml:space="preserve">Sanayi üretim endeksi (SÜE) </w:t>
            </w:r>
          </w:p>
        </w:tc>
        <w:tc>
          <w:tcPr>
            <w:tcW w:w="964" w:type="dxa"/>
            <w:tcBorders>
              <w:bottom w:val="nil"/>
            </w:tcBorders>
            <w:vAlign w:val="center"/>
          </w:tcPr>
          <w:p w:rsidR="009B7C8B" w:rsidRPr="00261A05" w:rsidRDefault="009B7C8B" w:rsidP="00261A05">
            <w:pPr>
              <w:ind w:right="42"/>
              <w:jc w:val="center"/>
              <w:rPr>
                <w:b/>
                <w:bCs/>
              </w:rPr>
            </w:pPr>
            <w:r>
              <w:rPr>
                <w:b/>
                <w:bCs/>
              </w:rPr>
              <w:t>2,3</w:t>
            </w:r>
          </w:p>
        </w:tc>
        <w:tc>
          <w:tcPr>
            <w:tcW w:w="964" w:type="dxa"/>
            <w:tcBorders>
              <w:bottom w:val="nil"/>
            </w:tcBorders>
            <w:vAlign w:val="center"/>
          </w:tcPr>
          <w:p w:rsidR="009B7C8B" w:rsidRPr="00261A05" w:rsidRDefault="009B7C8B" w:rsidP="00261A05">
            <w:pPr>
              <w:ind w:right="42"/>
              <w:jc w:val="center"/>
              <w:rPr>
                <w:b/>
                <w:bCs/>
              </w:rPr>
            </w:pPr>
            <w:r>
              <w:rPr>
                <w:b/>
                <w:bCs/>
              </w:rPr>
              <w:t>1,5</w:t>
            </w:r>
          </w:p>
        </w:tc>
        <w:tc>
          <w:tcPr>
            <w:tcW w:w="964" w:type="dxa"/>
            <w:tcBorders>
              <w:bottom w:val="nil"/>
            </w:tcBorders>
            <w:vAlign w:val="center"/>
          </w:tcPr>
          <w:p w:rsidR="009B7C8B" w:rsidRPr="00261A05" w:rsidRDefault="009B7C8B" w:rsidP="00261A05">
            <w:pPr>
              <w:ind w:right="42"/>
              <w:jc w:val="center"/>
              <w:rPr>
                <w:b/>
                <w:bCs/>
              </w:rPr>
            </w:pPr>
            <w:r>
              <w:rPr>
                <w:b/>
                <w:bCs/>
              </w:rPr>
              <w:t>-0,9</w:t>
            </w:r>
          </w:p>
        </w:tc>
        <w:tc>
          <w:tcPr>
            <w:tcW w:w="965" w:type="dxa"/>
            <w:tcBorders>
              <w:bottom w:val="nil"/>
            </w:tcBorders>
            <w:vAlign w:val="center"/>
          </w:tcPr>
          <w:p w:rsidR="009B7C8B" w:rsidRPr="00261A05" w:rsidRDefault="009B7C8B" w:rsidP="00261A05">
            <w:pPr>
              <w:ind w:right="42"/>
              <w:jc w:val="center"/>
              <w:rPr>
                <w:b/>
                <w:bCs/>
              </w:rPr>
            </w:pPr>
            <w:r>
              <w:rPr>
                <w:b/>
                <w:bCs/>
              </w:rPr>
              <w:t>1,3</w:t>
            </w:r>
          </w:p>
        </w:tc>
        <w:tc>
          <w:tcPr>
            <w:tcW w:w="964" w:type="dxa"/>
            <w:tcBorders>
              <w:bottom w:val="nil"/>
              <w:right w:val="double" w:sz="4" w:space="0" w:color="auto"/>
            </w:tcBorders>
            <w:vAlign w:val="center"/>
          </w:tcPr>
          <w:p w:rsidR="009B7C8B" w:rsidRPr="00261A05" w:rsidRDefault="009B7C8B" w:rsidP="00261A05">
            <w:pPr>
              <w:ind w:right="42"/>
              <w:jc w:val="center"/>
            </w:pPr>
            <w:r>
              <w:t>**</w:t>
            </w:r>
          </w:p>
        </w:tc>
        <w:tc>
          <w:tcPr>
            <w:tcW w:w="964" w:type="dxa"/>
            <w:tcBorders>
              <w:left w:val="double" w:sz="4" w:space="0" w:color="auto"/>
              <w:bottom w:val="nil"/>
            </w:tcBorders>
            <w:vAlign w:val="center"/>
          </w:tcPr>
          <w:p w:rsidR="009B7C8B" w:rsidRPr="00261A05" w:rsidRDefault="009B7C8B" w:rsidP="00261A05">
            <w:pPr>
              <w:ind w:right="42"/>
              <w:jc w:val="center"/>
              <w:rPr>
                <w:b/>
                <w:bCs/>
              </w:rPr>
            </w:pPr>
            <w:r>
              <w:rPr>
                <w:b/>
                <w:bCs/>
              </w:rPr>
              <w:t>1,0</w:t>
            </w:r>
          </w:p>
        </w:tc>
        <w:tc>
          <w:tcPr>
            <w:tcW w:w="965" w:type="dxa"/>
            <w:tcBorders>
              <w:bottom w:val="nil"/>
            </w:tcBorders>
            <w:vAlign w:val="center"/>
          </w:tcPr>
          <w:p w:rsidR="009B7C8B" w:rsidRPr="00261A05" w:rsidRDefault="009B7C8B" w:rsidP="00261A05">
            <w:pPr>
              <w:ind w:right="42"/>
              <w:jc w:val="center"/>
              <w:rPr>
                <w:b/>
                <w:bCs/>
              </w:rPr>
            </w:pPr>
            <w:r>
              <w:rPr>
                <w:b/>
                <w:bCs/>
              </w:rPr>
              <w:t>1,2</w:t>
            </w:r>
          </w:p>
        </w:tc>
      </w:tr>
      <w:tr w:rsidR="009B7C8B">
        <w:trPr>
          <w:trHeight w:val="370"/>
        </w:trPr>
        <w:tc>
          <w:tcPr>
            <w:tcW w:w="3330" w:type="dxa"/>
            <w:tcBorders>
              <w:top w:val="nil"/>
              <w:bottom w:val="nil"/>
            </w:tcBorders>
            <w:vAlign w:val="center"/>
          </w:tcPr>
          <w:p w:rsidR="009B7C8B" w:rsidRPr="00261A05" w:rsidRDefault="009B7C8B" w:rsidP="00261A05">
            <w:pPr>
              <w:ind w:right="42"/>
              <w:jc w:val="center"/>
            </w:pPr>
            <w:r w:rsidRPr="00261A05">
              <w:rPr>
                <w:sz w:val="22"/>
                <w:szCs w:val="22"/>
              </w:rPr>
              <w:t>Dayanıksız tüketim malı imalatı</w:t>
            </w:r>
          </w:p>
        </w:tc>
        <w:tc>
          <w:tcPr>
            <w:tcW w:w="964" w:type="dxa"/>
            <w:tcBorders>
              <w:top w:val="nil"/>
              <w:bottom w:val="nil"/>
            </w:tcBorders>
            <w:vAlign w:val="center"/>
          </w:tcPr>
          <w:p w:rsidR="009B7C8B" w:rsidRPr="00261A05" w:rsidRDefault="009B7C8B" w:rsidP="00261A05">
            <w:pPr>
              <w:ind w:right="42"/>
              <w:jc w:val="center"/>
            </w:pPr>
            <w:r>
              <w:t>2,1</w:t>
            </w:r>
          </w:p>
        </w:tc>
        <w:tc>
          <w:tcPr>
            <w:tcW w:w="964" w:type="dxa"/>
            <w:tcBorders>
              <w:top w:val="nil"/>
              <w:bottom w:val="nil"/>
            </w:tcBorders>
            <w:vAlign w:val="center"/>
          </w:tcPr>
          <w:p w:rsidR="009B7C8B" w:rsidRPr="00261A05" w:rsidRDefault="009B7C8B" w:rsidP="00261A05">
            <w:pPr>
              <w:ind w:right="42"/>
              <w:jc w:val="center"/>
            </w:pPr>
            <w:r>
              <w:t>0,3</w:t>
            </w:r>
          </w:p>
        </w:tc>
        <w:tc>
          <w:tcPr>
            <w:tcW w:w="964" w:type="dxa"/>
            <w:tcBorders>
              <w:top w:val="nil"/>
              <w:bottom w:val="nil"/>
            </w:tcBorders>
            <w:vAlign w:val="center"/>
          </w:tcPr>
          <w:p w:rsidR="009B7C8B" w:rsidRPr="00261A05" w:rsidRDefault="009B7C8B" w:rsidP="00261A05">
            <w:pPr>
              <w:ind w:right="42"/>
              <w:jc w:val="center"/>
            </w:pPr>
            <w:r>
              <w:t>-0,5</w:t>
            </w:r>
          </w:p>
        </w:tc>
        <w:tc>
          <w:tcPr>
            <w:tcW w:w="965" w:type="dxa"/>
            <w:tcBorders>
              <w:top w:val="nil"/>
              <w:bottom w:val="nil"/>
            </w:tcBorders>
            <w:vAlign w:val="center"/>
          </w:tcPr>
          <w:p w:rsidR="009B7C8B" w:rsidRPr="00261A05" w:rsidRDefault="009B7C8B" w:rsidP="00261A05">
            <w:pPr>
              <w:ind w:right="42"/>
              <w:jc w:val="center"/>
            </w:pPr>
            <w:r>
              <w:t>1,0</w:t>
            </w:r>
          </w:p>
        </w:tc>
        <w:tc>
          <w:tcPr>
            <w:tcW w:w="964" w:type="dxa"/>
            <w:tcBorders>
              <w:top w:val="nil"/>
              <w:bottom w:val="nil"/>
              <w:right w:val="double" w:sz="4" w:space="0" w:color="auto"/>
            </w:tcBorders>
            <w:vAlign w:val="center"/>
          </w:tcPr>
          <w:p w:rsidR="009B7C8B" w:rsidRPr="00261A05" w:rsidRDefault="009B7C8B" w:rsidP="00261A05">
            <w:pPr>
              <w:ind w:right="42"/>
              <w:jc w:val="center"/>
            </w:pPr>
            <w:r>
              <w:t>**</w:t>
            </w:r>
          </w:p>
        </w:tc>
        <w:tc>
          <w:tcPr>
            <w:tcW w:w="964" w:type="dxa"/>
            <w:tcBorders>
              <w:top w:val="nil"/>
              <w:left w:val="double" w:sz="4" w:space="0" w:color="auto"/>
              <w:bottom w:val="nil"/>
            </w:tcBorders>
            <w:vAlign w:val="center"/>
          </w:tcPr>
          <w:p w:rsidR="009B7C8B" w:rsidRPr="00261A05" w:rsidRDefault="009B7C8B" w:rsidP="00261A05">
            <w:pPr>
              <w:ind w:right="42"/>
              <w:jc w:val="center"/>
            </w:pPr>
            <w:r>
              <w:t>2,0</w:t>
            </w:r>
          </w:p>
        </w:tc>
        <w:tc>
          <w:tcPr>
            <w:tcW w:w="965" w:type="dxa"/>
            <w:tcBorders>
              <w:top w:val="nil"/>
              <w:bottom w:val="nil"/>
            </w:tcBorders>
            <w:vAlign w:val="center"/>
          </w:tcPr>
          <w:p w:rsidR="009B7C8B" w:rsidRPr="00261A05" w:rsidRDefault="009B7C8B" w:rsidP="00261A05">
            <w:pPr>
              <w:ind w:right="42"/>
              <w:jc w:val="center"/>
            </w:pPr>
            <w:r>
              <w:t>0,7</w:t>
            </w:r>
          </w:p>
        </w:tc>
      </w:tr>
      <w:tr w:rsidR="009B7C8B">
        <w:trPr>
          <w:trHeight w:val="370"/>
        </w:trPr>
        <w:tc>
          <w:tcPr>
            <w:tcW w:w="3330" w:type="dxa"/>
            <w:tcBorders>
              <w:top w:val="nil"/>
              <w:bottom w:val="nil"/>
            </w:tcBorders>
            <w:vAlign w:val="center"/>
          </w:tcPr>
          <w:p w:rsidR="009B7C8B" w:rsidRPr="00261A05" w:rsidRDefault="009B7C8B" w:rsidP="00261A05">
            <w:pPr>
              <w:ind w:right="42"/>
              <w:jc w:val="center"/>
              <w:rPr>
                <w:b/>
                <w:bCs/>
              </w:rPr>
            </w:pPr>
            <w:r w:rsidRPr="00261A05">
              <w:rPr>
                <w:sz w:val="22"/>
                <w:szCs w:val="22"/>
              </w:rPr>
              <w:t>Dayanıklı tüketim malı imalatı</w:t>
            </w:r>
          </w:p>
        </w:tc>
        <w:tc>
          <w:tcPr>
            <w:tcW w:w="964" w:type="dxa"/>
            <w:tcBorders>
              <w:top w:val="nil"/>
              <w:bottom w:val="nil"/>
            </w:tcBorders>
            <w:vAlign w:val="center"/>
          </w:tcPr>
          <w:p w:rsidR="009B7C8B" w:rsidRPr="00261A05" w:rsidRDefault="009B7C8B" w:rsidP="00261A05">
            <w:pPr>
              <w:ind w:right="42"/>
              <w:jc w:val="center"/>
            </w:pPr>
            <w:r>
              <w:t>-0,6</w:t>
            </w:r>
          </w:p>
        </w:tc>
        <w:tc>
          <w:tcPr>
            <w:tcW w:w="964" w:type="dxa"/>
            <w:tcBorders>
              <w:top w:val="nil"/>
              <w:bottom w:val="nil"/>
            </w:tcBorders>
            <w:vAlign w:val="center"/>
          </w:tcPr>
          <w:p w:rsidR="009B7C8B" w:rsidRPr="00261A05" w:rsidRDefault="009B7C8B" w:rsidP="00261A05">
            <w:pPr>
              <w:ind w:right="42"/>
              <w:jc w:val="center"/>
            </w:pPr>
            <w:r>
              <w:t>3,2</w:t>
            </w:r>
          </w:p>
        </w:tc>
        <w:tc>
          <w:tcPr>
            <w:tcW w:w="964" w:type="dxa"/>
            <w:tcBorders>
              <w:top w:val="nil"/>
              <w:bottom w:val="nil"/>
            </w:tcBorders>
            <w:vAlign w:val="center"/>
          </w:tcPr>
          <w:p w:rsidR="009B7C8B" w:rsidRPr="00261A05" w:rsidRDefault="009B7C8B" w:rsidP="00261A05">
            <w:pPr>
              <w:ind w:right="42"/>
              <w:jc w:val="center"/>
            </w:pPr>
            <w:r>
              <w:t>6,3</w:t>
            </w:r>
          </w:p>
        </w:tc>
        <w:tc>
          <w:tcPr>
            <w:tcW w:w="965" w:type="dxa"/>
            <w:tcBorders>
              <w:top w:val="nil"/>
              <w:bottom w:val="nil"/>
            </w:tcBorders>
            <w:vAlign w:val="center"/>
          </w:tcPr>
          <w:p w:rsidR="009B7C8B" w:rsidRPr="00261A05" w:rsidRDefault="009B7C8B" w:rsidP="00261A05">
            <w:pPr>
              <w:ind w:right="42"/>
              <w:jc w:val="center"/>
            </w:pPr>
            <w:r>
              <w:t>-0,9</w:t>
            </w:r>
          </w:p>
        </w:tc>
        <w:tc>
          <w:tcPr>
            <w:tcW w:w="964" w:type="dxa"/>
            <w:tcBorders>
              <w:top w:val="nil"/>
              <w:bottom w:val="nil"/>
              <w:right w:val="double" w:sz="4" w:space="0" w:color="auto"/>
            </w:tcBorders>
            <w:vAlign w:val="center"/>
          </w:tcPr>
          <w:p w:rsidR="009B7C8B" w:rsidRPr="00261A05" w:rsidRDefault="009B7C8B" w:rsidP="00261A05">
            <w:pPr>
              <w:ind w:right="42"/>
              <w:jc w:val="center"/>
            </w:pPr>
            <w:r>
              <w:t>**</w:t>
            </w:r>
          </w:p>
        </w:tc>
        <w:tc>
          <w:tcPr>
            <w:tcW w:w="964" w:type="dxa"/>
            <w:tcBorders>
              <w:top w:val="nil"/>
              <w:left w:val="double" w:sz="4" w:space="0" w:color="auto"/>
              <w:bottom w:val="nil"/>
            </w:tcBorders>
            <w:vAlign w:val="center"/>
          </w:tcPr>
          <w:p w:rsidR="009B7C8B" w:rsidRPr="00261A05" w:rsidRDefault="009B7C8B" w:rsidP="00261A05">
            <w:pPr>
              <w:ind w:right="42"/>
              <w:jc w:val="center"/>
            </w:pPr>
            <w:r>
              <w:t>-0,7</w:t>
            </w:r>
          </w:p>
        </w:tc>
        <w:tc>
          <w:tcPr>
            <w:tcW w:w="965" w:type="dxa"/>
            <w:tcBorders>
              <w:top w:val="nil"/>
              <w:bottom w:val="nil"/>
            </w:tcBorders>
            <w:vAlign w:val="center"/>
          </w:tcPr>
          <w:p w:rsidR="009B7C8B" w:rsidRPr="00261A05" w:rsidRDefault="009B7C8B" w:rsidP="00261A05">
            <w:pPr>
              <w:ind w:right="42"/>
              <w:jc w:val="center"/>
            </w:pPr>
            <w:r>
              <w:t>4,2</w:t>
            </w:r>
          </w:p>
        </w:tc>
      </w:tr>
      <w:tr w:rsidR="009B7C8B">
        <w:trPr>
          <w:trHeight w:val="370"/>
        </w:trPr>
        <w:tc>
          <w:tcPr>
            <w:tcW w:w="3330" w:type="dxa"/>
            <w:tcBorders>
              <w:top w:val="nil"/>
              <w:bottom w:val="nil"/>
            </w:tcBorders>
            <w:vAlign w:val="center"/>
          </w:tcPr>
          <w:p w:rsidR="009B7C8B" w:rsidRPr="00261A05" w:rsidRDefault="009B7C8B" w:rsidP="00261A05">
            <w:pPr>
              <w:ind w:right="42"/>
              <w:jc w:val="center"/>
            </w:pPr>
            <w:r w:rsidRPr="00261A05">
              <w:rPr>
                <w:sz w:val="22"/>
                <w:szCs w:val="22"/>
              </w:rPr>
              <w:t>Ara malı imalatı</w:t>
            </w:r>
          </w:p>
        </w:tc>
        <w:tc>
          <w:tcPr>
            <w:tcW w:w="964" w:type="dxa"/>
            <w:tcBorders>
              <w:top w:val="nil"/>
              <w:bottom w:val="nil"/>
            </w:tcBorders>
            <w:vAlign w:val="center"/>
          </w:tcPr>
          <w:p w:rsidR="009B7C8B" w:rsidRPr="00261A05" w:rsidRDefault="009B7C8B" w:rsidP="00261A05">
            <w:pPr>
              <w:ind w:right="42"/>
              <w:jc w:val="center"/>
            </w:pPr>
            <w:r>
              <w:t>3,2</w:t>
            </w:r>
          </w:p>
        </w:tc>
        <w:tc>
          <w:tcPr>
            <w:tcW w:w="964" w:type="dxa"/>
            <w:tcBorders>
              <w:top w:val="nil"/>
              <w:bottom w:val="nil"/>
            </w:tcBorders>
            <w:vAlign w:val="center"/>
          </w:tcPr>
          <w:p w:rsidR="009B7C8B" w:rsidRPr="00261A05" w:rsidRDefault="009B7C8B" w:rsidP="00261A05">
            <w:pPr>
              <w:ind w:right="42"/>
              <w:jc w:val="center"/>
            </w:pPr>
            <w:r>
              <w:t>1,4</w:t>
            </w:r>
          </w:p>
        </w:tc>
        <w:tc>
          <w:tcPr>
            <w:tcW w:w="964" w:type="dxa"/>
            <w:tcBorders>
              <w:top w:val="nil"/>
              <w:bottom w:val="nil"/>
            </w:tcBorders>
            <w:vAlign w:val="center"/>
          </w:tcPr>
          <w:p w:rsidR="009B7C8B" w:rsidRPr="00261A05" w:rsidRDefault="009B7C8B" w:rsidP="00261A05">
            <w:pPr>
              <w:ind w:right="42"/>
              <w:jc w:val="center"/>
            </w:pPr>
            <w:r>
              <w:t>-0,2</w:t>
            </w:r>
          </w:p>
        </w:tc>
        <w:tc>
          <w:tcPr>
            <w:tcW w:w="965" w:type="dxa"/>
            <w:tcBorders>
              <w:top w:val="nil"/>
              <w:bottom w:val="nil"/>
            </w:tcBorders>
            <w:vAlign w:val="center"/>
          </w:tcPr>
          <w:p w:rsidR="009B7C8B" w:rsidRPr="00261A05" w:rsidRDefault="009B7C8B" w:rsidP="00261A05">
            <w:pPr>
              <w:ind w:right="42"/>
              <w:jc w:val="center"/>
            </w:pPr>
            <w:r>
              <w:t>2,0</w:t>
            </w:r>
          </w:p>
        </w:tc>
        <w:tc>
          <w:tcPr>
            <w:tcW w:w="964" w:type="dxa"/>
            <w:tcBorders>
              <w:top w:val="nil"/>
              <w:bottom w:val="nil"/>
              <w:right w:val="double" w:sz="4" w:space="0" w:color="auto"/>
            </w:tcBorders>
            <w:vAlign w:val="center"/>
          </w:tcPr>
          <w:p w:rsidR="009B7C8B" w:rsidRPr="00261A05" w:rsidRDefault="009B7C8B" w:rsidP="00261A05">
            <w:pPr>
              <w:ind w:right="42"/>
              <w:jc w:val="center"/>
            </w:pPr>
            <w:r>
              <w:t>**</w:t>
            </w:r>
          </w:p>
        </w:tc>
        <w:tc>
          <w:tcPr>
            <w:tcW w:w="964" w:type="dxa"/>
            <w:tcBorders>
              <w:top w:val="nil"/>
              <w:left w:val="double" w:sz="4" w:space="0" w:color="auto"/>
              <w:bottom w:val="nil"/>
            </w:tcBorders>
            <w:vAlign w:val="center"/>
          </w:tcPr>
          <w:p w:rsidR="009B7C8B" w:rsidRPr="00261A05" w:rsidRDefault="009B7C8B" w:rsidP="00261A05">
            <w:pPr>
              <w:ind w:right="42"/>
              <w:jc w:val="center"/>
            </w:pPr>
            <w:r>
              <w:t>0,7</w:t>
            </w:r>
          </w:p>
        </w:tc>
        <w:tc>
          <w:tcPr>
            <w:tcW w:w="965" w:type="dxa"/>
            <w:tcBorders>
              <w:top w:val="nil"/>
              <w:bottom w:val="nil"/>
            </w:tcBorders>
            <w:vAlign w:val="center"/>
          </w:tcPr>
          <w:p w:rsidR="009B7C8B" w:rsidRPr="00261A05" w:rsidRDefault="009B7C8B" w:rsidP="00261A05">
            <w:pPr>
              <w:ind w:right="42"/>
              <w:jc w:val="center"/>
            </w:pPr>
            <w:r>
              <w:t>2,3</w:t>
            </w:r>
          </w:p>
        </w:tc>
      </w:tr>
      <w:tr w:rsidR="009B7C8B">
        <w:trPr>
          <w:trHeight w:val="370"/>
        </w:trPr>
        <w:tc>
          <w:tcPr>
            <w:tcW w:w="3330" w:type="dxa"/>
            <w:tcBorders>
              <w:top w:val="nil"/>
            </w:tcBorders>
            <w:vAlign w:val="center"/>
          </w:tcPr>
          <w:p w:rsidR="009B7C8B" w:rsidRPr="00261A05" w:rsidRDefault="009B7C8B" w:rsidP="00261A05">
            <w:pPr>
              <w:ind w:right="42"/>
              <w:jc w:val="center"/>
            </w:pPr>
            <w:r w:rsidRPr="00261A05">
              <w:rPr>
                <w:sz w:val="22"/>
                <w:szCs w:val="22"/>
              </w:rPr>
              <w:t>Yatırım malı imalatı</w:t>
            </w:r>
          </w:p>
        </w:tc>
        <w:tc>
          <w:tcPr>
            <w:tcW w:w="964" w:type="dxa"/>
            <w:tcBorders>
              <w:top w:val="nil"/>
            </w:tcBorders>
            <w:vAlign w:val="center"/>
          </w:tcPr>
          <w:p w:rsidR="009B7C8B" w:rsidRPr="00261A05" w:rsidRDefault="009B7C8B" w:rsidP="00261A05">
            <w:pPr>
              <w:ind w:right="42"/>
              <w:jc w:val="center"/>
            </w:pPr>
            <w:r>
              <w:t>2,3</w:t>
            </w:r>
          </w:p>
        </w:tc>
        <w:tc>
          <w:tcPr>
            <w:tcW w:w="964" w:type="dxa"/>
            <w:tcBorders>
              <w:top w:val="nil"/>
            </w:tcBorders>
            <w:vAlign w:val="center"/>
          </w:tcPr>
          <w:p w:rsidR="009B7C8B" w:rsidRPr="00261A05" w:rsidRDefault="009B7C8B" w:rsidP="00261A05">
            <w:pPr>
              <w:ind w:right="42"/>
              <w:jc w:val="center"/>
            </w:pPr>
            <w:r>
              <w:t>5,8</w:t>
            </w:r>
          </w:p>
        </w:tc>
        <w:tc>
          <w:tcPr>
            <w:tcW w:w="964" w:type="dxa"/>
            <w:tcBorders>
              <w:top w:val="nil"/>
            </w:tcBorders>
            <w:vAlign w:val="center"/>
          </w:tcPr>
          <w:p w:rsidR="009B7C8B" w:rsidRPr="00261A05" w:rsidRDefault="009B7C8B" w:rsidP="00261A05">
            <w:pPr>
              <w:ind w:right="42"/>
              <w:jc w:val="center"/>
            </w:pPr>
            <w:r>
              <w:t>-6,2</w:t>
            </w:r>
          </w:p>
        </w:tc>
        <w:tc>
          <w:tcPr>
            <w:tcW w:w="965" w:type="dxa"/>
            <w:tcBorders>
              <w:top w:val="nil"/>
            </w:tcBorders>
            <w:vAlign w:val="center"/>
          </w:tcPr>
          <w:p w:rsidR="009B7C8B" w:rsidRPr="00261A05" w:rsidRDefault="009B7C8B" w:rsidP="00261A05">
            <w:pPr>
              <w:ind w:right="42"/>
              <w:jc w:val="center"/>
            </w:pPr>
            <w:r>
              <w:t>1,1</w:t>
            </w:r>
          </w:p>
        </w:tc>
        <w:tc>
          <w:tcPr>
            <w:tcW w:w="964" w:type="dxa"/>
            <w:tcBorders>
              <w:top w:val="nil"/>
              <w:right w:val="double" w:sz="4" w:space="0" w:color="auto"/>
            </w:tcBorders>
            <w:vAlign w:val="center"/>
          </w:tcPr>
          <w:p w:rsidR="009B7C8B" w:rsidRPr="00261A05" w:rsidRDefault="009B7C8B" w:rsidP="00261A05">
            <w:pPr>
              <w:ind w:right="42"/>
              <w:jc w:val="center"/>
            </w:pPr>
            <w:r>
              <w:t>**</w:t>
            </w:r>
          </w:p>
        </w:tc>
        <w:tc>
          <w:tcPr>
            <w:tcW w:w="964" w:type="dxa"/>
            <w:tcBorders>
              <w:top w:val="nil"/>
              <w:left w:val="double" w:sz="4" w:space="0" w:color="auto"/>
            </w:tcBorders>
            <w:vAlign w:val="center"/>
          </w:tcPr>
          <w:p w:rsidR="009B7C8B" w:rsidRPr="00261A05" w:rsidRDefault="009B7C8B" w:rsidP="00261A05">
            <w:pPr>
              <w:ind w:right="42"/>
              <w:jc w:val="center"/>
            </w:pPr>
            <w:r>
              <w:t>2,3</w:t>
            </w:r>
          </w:p>
        </w:tc>
        <w:tc>
          <w:tcPr>
            <w:tcW w:w="965" w:type="dxa"/>
            <w:tcBorders>
              <w:top w:val="nil"/>
            </w:tcBorders>
            <w:vAlign w:val="center"/>
          </w:tcPr>
          <w:p w:rsidR="009B7C8B" w:rsidRPr="00261A05" w:rsidRDefault="009B7C8B" w:rsidP="00261A05">
            <w:pPr>
              <w:ind w:right="42"/>
              <w:jc w:val="center"/>
            </w:pPr>
            <w:r>
              <w:t>-1,3</w:t>
            </w:r>
          </w:p>
        </w:tc>
      </w:tr>
      <w:tr w:rsidR="009B7C8B">
        <w:trPr>
          <w:trHeight w:val="370"/>
        </w:trPr>
        <w:tc>
          <w:tcPr>
            <w:tcW w:w="3330" w:type="dxa"/>
            <w:tcBorders>
              <w:bottom w:val="nil"/>
            </w:tcBorders>
            <w:vAlign w:val="center"/>
          </w:tcPr>
          <w:p w:rsidR="009B7C8B" w:rsidRPr="00261A05" w:rsidRDefault="009B7C8B" w:rsidP="00261A05">
            <w:pPr>
              <w:ind w:right="42"/>
              <w:jc w:val="center"/>
              <w:rPr>
                <w:b/>
                <w:bCs/>
              </w:rPr>
            </w:pPr>
            <w:r w:rsidRPr="00261A05">
              <w:rPr>
                <w:b/>
                <w:bCs/>
                <w:sz w:val="22"/>
                <w:szCs w:val="22"/>
              </w:rPr>
              <w:t>Kapasite kullanım oranı (KKO)</w:t>
            </w:r>
          </w:p>
        </w:tc>
        <w:tc>
          <w:tcPr>
            <w:tcW w:w="964" w:type="dxa"/>
            <w:tcBorders>
              <w:bottom w:val="nil"/>
            </w:tcBorders>
            <w:vAlign w:val="center"/>
          </w:tcPr>
          <w:p w:rsidR="009B7C8B" w:rsidRPr="00261A05" w:rsidRDefault="009B7C8B" w:rsidP="00261A05">
            <w:pPr>
              <w:ind w:right="42"/>
              <w:jc w:val="center"/>
              <w:rPr>
                <w:b/>
                <w:bCs/>
              </w:rPr>
            </w:pPr>
            <w:r>
              <w:rPr>
                <w:b/>
                <w:bCs/>
              </w:rPr>
              <w:t>-0,5</w:t>
            </w:r>
          </w:p>
        </w:tc>
        <w:tc>
          <w:tcPr>
            <w:tcW w:w="964" w:type="dxa"/>
            <w:tcBorders>
              <w:bottom w:val="nil"/>
            </w:tcBorders>
            <w:vAlign w:val="center"/>
          </w:tcPr>
          <w:p w:rsidR="009B7C8B" w:rsidRPr="00261A05" w:rsidRDefault="009B7C8B" w:rsidP="00261A05">
            <w:pPr>
              <w:ind w:right="42"/>
              <w:jc w:val="center"/>
              <w:rPr>
                <w:b/>
                <w:bCs/>
              </w:rPr>
            </w:pPr>
            <w:r>
              <w:rPr>
                <w:b/>
                <w:bCs/>
              </w:rPr>
              <w:t>0,2</w:t>
            </w:r>
          </w:p>
        </w:tc>
        <w:tc>
          <w:tcPr>
            <w:tcW w:w="964" w:type="dxa"/>
            <w:tcBorders>
              <w:bottom w:val="nil"/>
            </w:tcBorders>
            <w:vAlign w:val="center"/>
          </w:tcPr>
          <w:p w:rsidR="009B7C8B" w:rsidRPr="00261A05" w:rsidRDefault="009B7C8B" w:rsidP="00261A05">
            <w:pPr>
              <w:ind w:right="42"/>
              <w:jc w:val="center"/>
              <w:rPr>
                <w:b/>
                <w:bCs/>
              </w:rPr>
            </w:pPr>
            <w:r>
              <w:rPr>
                <w:b/>
                <w:bCs/>
              </w:rPr>
              <w:t>0,7</w:t>
            </w:r>
          </w:p>
        </w:tc>
        <w:tc>
          <w:tcPr>
            <w:tcW w:w="965" w:type="dxa"/>
            <w:tcBorders>
              <w:bottom w:val="nil"/>
            </w:tcBorders>
            <w:vAlign w:val="center"/>
          </w:tcPr>
          <w:p w:rsidR="009B7C8B" w:rsidRPr="00261A05" w:rsidRDefault="009B7C8B" w:rsidP="00261A05">
            <w:pPr>
              <w:ind w:right="42"/>
              <w:jc w:val="center"/>
              <w:rPr>
                <w:b/>
                <w:bCs/>
              </w:rPr>
            </w:pPr>
            <w:r>
              <w:rPr>
                <w:b/>
                <w:bCs/>
              </w:rPr>
              <w:t>0,3</w:t>
            </w:r>
          </w:p>
        </w:tc>
        <w:tc>
          <w:tcPr>
            <w:tcW w:w="964" w:type="dxa"/>
            <w:tcBorders>
              <w:bottom w:val="nil"/>
              <w:right w:val="double" w:sz="4" w:space="0" w:color="auto"/>
            </w:tcBorders>
            <w:vAlign w:val="center"/>
          </w:tcPr>
          <w:p w:rsidR="009B7C8B" w:rsidRPr="00261A05" w:rsidRDefault="009B7C8B" w:rsidP="00261A05">
            <w:pPr>
              <w:ind w:right="42"/>
              <w:jc w:val="center"/>
              <w:rPr>
                <w:b/>
                <w:bCs/>
              </w:rPr>
            </w:pPr>
            <w:r>
              <w:rPr>
                <w:b/>
                <w:bCs/>
              </w:rPr>
              <w:t>0,3</w:t>
            </w:r>
          </w:p>
        </w:tc>
        <w:tc>
          <w:tcPr>
            <w:tcW w:w="964" w:type="dxa"/>
            <w:tcBorders>
              <w:left w:val="double" w:sz="4" w:space="0" w:color="auto"/>
              <w:bottom w:val="nil"/>
            </w:tcBorders>
            <w:vAlign w:val="center"/>
          </w:tcPr>
          <w:p w:rsidR="009B7C8B" w:rsidRPr="00261A05" w:rsidRDefault="009B7C8B" w:rsidP="00261A05">
            <w:pPr>
              <w:ind w:right="42"/>
              <w:jc w:val="center"/>
              <w:rPr>
                <w:b/>
                <w:bCs/>
              </w:rPr>
            </w:pPr>
            <w:r>
              <w:rPr>
                <w:b/>
                <w:bCs/>
              </w:rPr>
              <w:t>-0,2</w:t>
            </w:r>
          </w:p>
        </w:tc>
        <w:tc>
          <w:tcPr>
            <w:tcW w:w="965" w:type="dxa"/>
            <w:tcBorders>
              <w:bottom w:val="nil"/>
            </w:tcBorders>
            <w:vAlign w:val="center"/>
          </w:tcPr>
          <w:p w:rsidR="009B7C8B" w:rsidRPr="00261A05" w:rsidRDefault="009B7C8B" w:rsidP="00261A05">
            <w:pPr>
              <w:ind w:right="42"/>
              <w:jc w:val="center"/>
              <w:rPr>
                <w:b/>
                <w:bCs/>
              </w:rPr>
            </w:pPr>
            <w:r>
              <w:rPr>
                <w:b/>
                <w:bCs/>
              </w:rPr>
              <w:t>1,0</w:t>
            </w:r>
          </w:p>
        </w:tc>
      </w:tr>
      <w:tr w:rsidR="009B7C8B">
        <w:trPr>
          <w:trHeight w:val="370"/>
        </w:trPr>
        <w:tc>
          <w:tcPr>
            <w:tcW w:w="3330" w:type="dxa"/>
            <w:tcBorders>
              <w:top w:val="nil"/>
              <w:bottom w:val="nil"/>
            </w:tcBorders>
            <w:vAlign w:val="center"/>
          </w:tcPr>
          <w:p w:rsidR="009B7C8B" w:rsidRPr="00261A05" w:rsidRDefault="009B7C8B" w:rsidP="00261A05">
            <w:pPr>
              <w:ind w:right="42"/>
              <w:jc w:val="center"/>
            </w:pPr>
            <w:r w:rsidRPr="00261A05">
              <w:rPr>
                <w:sz w:val="22"/>
                <w:szCs w:val="22"/>
              </w:rPr>
              <w:t>Dayanıksız tüketim malı imalatı</w:t>
            </w:r>
          </w:p>
        </w:tc>
        <w:tc>
          <w:tcPr>
            <w:tcW w:w="964" w:type="dxa"/>
            <w:tcBorders>
              <w:top w:val="nil"/>
              <w:bottom w:val="nil"/>
            </w:tcBorders>
            <w:vAlign w:val="center"/>
          </w:tcPr>
          <w:p w:rsidR="009B7C8B" w:rsidRPr="00261A05" w:rsidRDefault="009B7C8B" w:rsidP="00261A05">
            <w:pPr>
              <w:ind w:right="42"/>
              <w:jc w:val="center"/>
            </w:pPr>
            <w:r>
              <w:t>0,7</w:t>
            </w:r>
          </w:p>
        </w:tc>
        <w:tc>
          <w:tcPr>
            <w:tcW w:w="964" w:type="dxa"/>
            <w:tcBorders>
              <w:top w:val="nil"/>
              <w:bottom w:val="nil"/>
            </w:tcBorders>
            <w:vAlign w:val="center"/>
          </w:tcPr>
          <w:p w:rsidR="009B7C8B" w:rsidRPr="00261A05" w:rsidRDefault="009B7C8B" w:rsidP="00261A05">
            <w:pPr>
              <w:ind w:right="42"/>
              <w:jc w:val="center"/>
            </w:pPr>
            <w:r>
              <w:t>0,5</w:t>
            </w:r>
          </w:p>
        </w:tc>
        <w:tc>
          <w:tcPr>
            <w:tcW w:w="964" w:type="dxa"/>
            <w:tcBorders>
              <w:top w:val="nil"/>
              <w:bottom w:val="nil"/>
            </w:tcBorders>
            <w:vAlign w:val="center"/>
          </w:tcPr>
          <w:p w:rsidR="009B7C8B" w:rsidRPr="00261A05" w:rsidRDefault="009B7C8B" w:rsidP="00261A05">
            <w:pPr>
              <w:ind w:right="42"/>
              <w:jc w:val="center"/>
            </w:pPr>
            <w:r>
              <w:t>-0,2</w:t>
            </w:r>
          </w:p>
        </w:tc>
        <w:tc>
          <w:tcPr>
            <w:tcW w:w="965" w:type="dxa"/>
            <w:tcBorders>
              <w:top w:val="nil"/>
              <w:bottom w:val="nil"/>
            </w:tcBorders>
            <w:vAlign w:val="center"/>
          </w:tcPr>
          <w:p w:rsidR="009B7C8B" w:rsidRPr="00261A05" w:rsidRDefault="009B7C8B" w:rsidP="00261A05">
            <w:pPr>
              <w:ind w:right="42"/>
              <w:jc w:val="center"/>
            </w:pPr>
            <w:r>
              <w:t>-0,6</w:t>
            </w:r>
          </w:p>
        </w:tc>
        <w:tc>
          <w:tcPr>
            <w:tcW w:w="964" w:type="dxa"/>
            <w:tcBorders>
              <w:top w:val="nil"/>
              <w:bottom w:val="nil"/>
              <w:right w:val="double" w:sz="4" w:space="0" w:color="auto"/>
            </w:tcBorders>
            <w:vAlign w:val="center"/>
          </w:tcPr>
          <w:p w:rsidR="009B7C8B" w:rsidRPr="00261A05" w:rsidRDefault="009B7C8B" w:rsidP="00261A05">
            <w:pPr>
              <w:ind w:right="42"/>
              <w:jc w:val="center"/>
            </w:pPr>
            <w:r>
              <w:t>-0,3</w:t>
            </w:r>
          </w:p>
        </w:tc>
        <w:tc>
          <w:tcPr>
            <w:tcW w:w="964" w:type="dxa"/>
            <w:tcBorders>
              <w:top w:val="nil"/>
              <w:left w:val="double" w:sz="4" w:space="0" w:color="auto"/>
              <w:bottom w:val="nil"/>
            </w:tcBorders>
            <w:vAlign w:val="center"/>
          </w:tcPr>
          <w:p w:rsidR="009B7C8B" w:rsidRPr="00261A05" w:rsidRDefault="009B7C8B" w:rsidP="00261A05">
            <w:pPr>
              <w:ind w:right="42"/>
              <w:jc w:val="center"/>
            </w:pPr>
            <w:r>
              <w:t>1,0</w:t>
            </w:r>
          </w:p>
        </w:tc>
        <w:tc>
          <w:tcPr>
            <w:tcW w:w="965" w:type="dxa"/>
            <w:tcBorders>
              <w:top w:val="nil"/>
              <w:bottom w:val="nil"/>
            </w:tcBorders>
            <w:vAlign w:val="center"/>
          </w:tcPr>
          <w:p w:rsidR="009B7C8B" w:rsidRPr="00261A05" w:rsidRDefault="009B7C8B" w:rsidP="00261A05">
            <w:pPr>
              <w:ind w:right="42"/>
              <w:jc w:val="center"/>
            </w:pPr>
            <w:r>
              <w:t>-0,7</w:t>
            </w:r>
          </w:p>
        </w:tc>
      </w:tr>
      <w:tr w:rsidR="009B7C8B">
        <w:trPr>
          <w:trHeight w:val="370"/>
        </w:trPr>
        <w:tc>
          <w:tcPr>
            <w:tcW w:w="3330" w:type="dxa"/>
            <w:tcBorders>
              <w:top w:val="nil"/>
              <w:bottom w:val="nil"/>
            </w:tcBorders>
            <w:vAlign w:val="center"/>
          </w:tcPr>
          <w:p w:rsidR="009B7C8B" w:rsidRPr="00261A05" w:rsidRDefault="009B7C8B" w:rsidP="00261A05">
            <w:pPr>
              <w:ind w:right="42"/>
              <w:jc w:val="center"/>
              <w:rPr>
                <w:b/>
                <w:bCs/>
              </w:rPr>
            </w:pPr>
            <w:r w:rsidRPr="00261A05">
              <w:rPr>
                <w:sz w:val="22"/>
                <w:szCs w:val="22"/>
              </w:rPr>
              <w:t>Dayanıklı tüketim malı imalatı</w:t>
            </w:r>
          </w:p>
        </w:tc>
        <w:tc>
          <w:tcPr>
            <w:tcW w:w="964" w:type="dxa"/>
            <w:tcBorders>
              <w:top w:val="nil"/>
              <w:bottom w:val="nil"/>
            </w:tcBorders>
            <w:vAlign w:val="center"/>
          </w:tcPr>
          <w:p w:rsidR="009B7C8B" w:rsidRPr="00261A05" w:rsidRDefault="009B7C8B" w:rsidP="00261A05">
            <w:pPr>
              <w:ind w:right="42"/>
              <w:jc w:val="center"/>
            </w:pPr>
            <w:r>
              <w:t>1,1</w:t>
            </w:r>
          </w:p>
        </w:tc>
        <w:tc>
          <w:tcPr>
            <w:tcW w:w="964" w:type="dxa"/>
            <w:tcBorders>
              <w:top w:val="nil"/>
              <w:bottom w:val="nil"/>
            </w:tcBorders>
            <w:vAlign w:val="center"/>
          </w:tcPr>
          <w:p w:rsidR="009B7C8B" w:rsidRPr="00261A05" w:rsidRDefault="009B7C8B" w:rsidP="00261A05">
            <w:pPr>
              <w:ind w:right="42"/>
              <w:jc w:val="center"/>
            </w:pPr>
            <w:r>
              <w:t>-0,3</w:t>
            </w:r>
          </w:p>
        </w:tc>
        <w:tc>
          <w:tcPr>
            <w:tcW w:w="964" w:type="dxa"/>
            <w:tcBorders>
              <w:top w:val="nil"/>
              <w:bottom w:val="nil"/>
            </w:tcBorders>
            <w:vAlign w:val="center"/>
          </w:tcPr>
          <w:p w:rsidR="009B7C8B" w:rsidRPr="00261A05" w:rsidRDefault="009B7C8B" w:rsidP="00261A05">
            <w:pPr>
              <w:ind w:right="42"/>
              <w:jc w:val="center"/>
            </w:pPr>
            <w:r>
              <w:t>1,9</w:t>
            </w:r>
          </w:p>
        </w:tc>
        <w:tc>
          <w:tcPr>
            <w:tcW w:w="965" w:type="dxa"/>
            <w:tcBorders>
              <w:top w:val="nil"/>
              <w:bottom w:val="nil"/>
            </w:tcBorders>
            <w:vAlign w:val="center"/>
          </w:tcPr>
          <w:p w:rsidR="009B7C8B" w:rsidRPr="00261A05" w:rsidRDefault="009B7C8B" w:rsidP="00261A05">
            <w:pPr>
              <w:ind w:right="42"/>
              <w:jc w:val="center"/>
            </w:pPr>
            <w:r>
              <w:t>-2,3</w:t>
            </w:r>
          </w:p>
        </w:tc>
        <w:tc>
          <w:tcPr>
            <w:tcW w:w="964" w:type="dxa"/>
            <w:tcBorders>
              <w:top w:val="nil"/>
              <w:bottom w:val="nil"/>
              <w:right w:val="double" w:sz="4" w:space="0" w:color="auto"/>
            </w:tcBorders>
            <w:vAlign w:val="center"/>
          </w:tcPr>
          <w:p w:rsidR="009B7C8B" w:rsidRPr="00261A05" w:rsidRDefault="009B7C8B" w:rsidP="00261A05">
            <w:pPr>
              <w:ind w:right="42"/>
              <w:jc w:val="center"/>
            </w:pPr>
            <w:r>
              <w:t>2,7</w:t>
            </w:r>
          </w:p>
        </w:tc>
        <w:tc>
          <w:tcPr>
            <w:tcW w:w="964" w:type="dxa"/>
            <w:tcBorders>
              <w:top w:val="nil"/>
              <w:left w:val="double" w:sz="4" w:space="0" w:color="auto"/>
              <w:bottom w:val="nil"/>
            </w:tcBorders>
            <w:vAlign w:val="center"/>
          </w:tcPr>
          <w:p w:rsidR="009B7C8B" w:rsidRPr="00261A05" w:rsidRDefault="009B7C8B" w:rsidP="00261A05">
            <w:pPr>
              <w:ind w:right="42"/>
              <w:jc w:val="center"/>
            </w:pPr>
            <w:r>
              <w:t>1,0</w:t>
            </w:r>
          </w:p>
        </w:tc>
        <w:tc>
          <w:tcPr>
            <w:tcW w:w="965" w:type="dxa"/>
            <w:tcBorders>
              <w:top w:val="nil"/>
              <w:bottom w:val="nil"/>
            </w:tcBorders>
            <w:vAlign w:val="center"/>
          </w:tcPr>
          <w:p w:rsidR="009B7C8B" w:rsidRPr="00261A05" w:rsidRDefault="009B7C8B" w:rsidP="00261A05">
            <w:pPr>
              <w:ind w:right="42"/>
              <w:jc w:val="center"/>
            </w:pPr>
            <w:r>
              <w:t>0,2</w:t>
            </w:r>
          </w:p>
        </w:tc>
      </w:tr>
      <w:tr w:rsidR="009B7C8B">
        <w:trPr>
          <w:trHeight w:val="370"/>
        </w:trPr>
        <w:tc>
          <w:tcPr>
            <w:tcW w:w="3330" w:type="dxa"/>
            <w:tcBorders>
              <w:top w:val="nil"/>
              <w:bottom w:val="nil"/>
            </w:tcBorders>
            <w:vAlign w:val="center"/>
          </w:tcPr>
          <w:p w:rsidR="009B7C8B" w:rsidRPr="00261A05" w:rsidRDefault="009B7C8B" w:rsidP="00261A05">
            <w:pPr>
              <w:ind w:right="42"/>
              <w:jc w:val="center"/>
            </w:pPr>
            <w:r w:rsidRPr="00261A05">
              <w:rPr>
                <w:sz w:val="22"/>
                <w:szCs w:val="22"/>
              </w:rPr>
              <w:t>Ara malı imalatı</w:t>
            </w:r>
          </w:p>
        </w:tc>
        <w:tc>
          <w:tcPr>
            <w:tcW w:w="964" w:type="dxa"/>
            <w:tcBorders>
              <w:top w:val="nil"/>
              <w:bottom w:val="nil"/>
            </w:tcBorders>
            <w:vAlign w:val="center"/>
          </w:tcPr>
          <w:p w:rsidR="009B7C8B" w:rsidRPr="00261A05" w:rsidRDefault="009B7C8B" w:rsidP="00261A05">
            <w:pPr>
              <w:ind w:right="42"/>
              <w:jc w:val="center"/>
            </w:pPr>
            <w:r>
              <w:t>-1,6</w:t>
            </w:r>
          </w:p>
        </w:tc>
        <w:tc>
          <w:tcPr>
            <w:tcW w:w="964" w:type="dxa"/>
            <w:tcBorders>
              <w:top w:val="nil"/>
              <w:bottom w:val="nil"/>
            </w:tcBorders>
            <w:vAlign w:val="center"/>
          </w:tcPr>
          <w:p w:rsidR="009B7C8B" w:rsidRPr="00261A05" w:rsidRDefault="009B7C8B" w:rsidP="00261A05">
            <w:pPr>
              <w:ind w:right="42"/>
              <w:jc w:val="center"/>
            </w:pPr>
            <w:r>
              <w:t>-0,1</w:t>
            </w:r>
          </w:p>
        </w:tc>
        <w:tc>
          <w:tcPr>
            <w:tcW w:w="964" w:type="dxa"/>
            <w:tcBorders>
              <w:top w:val="nil"/>
              <w:bottom w:val="nil"/>
            </w:tcBorders>
            <w:vAlign w:val="center"/>
          </w:tcPr>
          <w:p w:rsidR="009B7C8B" w:rsidRPr="00261A05" w:rsidRDefault="009B7C8B" w:rsidP="00261A05">
            <w:pPr>
              <w:ind w:right="42"/>
              <w:jc w:val="center"/>
            </w:pPr>
            <w:r>
              <w:t>0,3</w:t>
            </w:r>
          </w:p>
        </w:tc>
        <w:tc>
          <w:tcPr>
            <w:tcW w:w="965" w:type="dxa"/>
            <w:tcBorders>
              <w:top w:val="nil"/>
              <w:bottom w:val="nil"/>
            </w:tcBorders>
            <w:vAlign w:val="center"/>
          </w:tcPr>
          <w:p w:rsidR="009B7C8B" w:rsidRPr="00261A05" w:rsidRDefault="009B7C8B" w:rsidP="00261A05">
            <w:pPr>
              <w:ind w:right="42"/>
              <w:jc w:val="center"/>
            </w:pPr>
            <w:r>
              <w:t>0,4</w:t>
            </w:r>
          </w:p>
        </w:tc>
        <w:tc>
          <w:tcPr>
            <w:tcW w:w="964" w:type="dxa"/>
            <w:tcBorders>
              <w:top w:val="nil"/>
              <w:bottom w:val="nil"/>
              <w:right w:val="double" w:sz="4" w:space="0" w:color="auto"/>
            </w:tcBorders>
            <w:vAlign w:val="center"/>
          </w:tcPr>
          <w:p w:rsidR="009B7C8B" w:rsidRPr="00261A05" w:rsidRDefault="009B7C8B" w:rsidP="00261A05">
            <w:pPr>
              <w:ind w:right="42"/>
              <w:jc w:val="center"/>
            </w:pPr>
            <w:r>
              <w:t>0,0</w:t>
            </w:r>
          </w:p>
        </w:tc>
        <w:tc>
          <w:tcPr>
            <w:tcW w:w="964" w:type="dxa"/>
            <w:tcBorders>
              <w:top w:val="nil"/>
              <w:left w:val="double" w:sz="4" w:space="0" w:color="auto"/>
              <w:bottom w:val="nil"/>
            </w:tcBorders>
            <w:vAlign w:val="center"/>
          </w:tcPr>
          <w:p w:rsidR="009B7C8B" w:rsidRPr="00261A05" w:rsidRDefault="009B7C8B" w:rsidP="00261A05">
            <w:pPr>
              <w:ind w:right="42"/>
              <w:jc w:val="center"/>
            </w:pPr>
            <w:r>
              <w:t>-0,6</w:t>
            </w:r>
          </w:p>
        </w:tc>
        <w:tc>
          <w:tcPr>
            <w:tcW w:w="965" w:type="dxa"/>
            <w:tcBorders>
              <w:top w:val="nil"/>
              <w:bottom w:val="nil"/>
            </w:tcBorders>
            <w:vAlign w:val="center"/>
          </w:tcPr>
          <w:p w:rsidR="009B7C8B" w:rsidRPr="00261A05" w:rsidRDefault="009B7C8B" w:rsidP="00261A05">
            <w:pPr>
              <w:ind w:right="42"/>
              <w:jc w:val="center"/>
            </w:pPr>
            <w:r>
              <w:t>0,5</w:t>
            </w:r>
          </w:p>
        </w:tc>
      </w:tr>
      <w:tr w:rsidR="009B7C8B">
        <w:trPr>
          <w:trHeight w:val="370"/>
        </w:trPr>
        <w:tc>
          <w:tcPr>
            <w:tcW w:w="3330" w:type="dxa"/>
            <w:tcBorders>
              <w:top w:val="nil"/>
            </w:tcBorders>
            <w:vAlign w:val="center"/>
          </w:tcPr>
          <w:p w:rsidR="009B7C8B" w:rsidRPr="00261A05" w:rsidRDefault="009B7C8B" w:rsidP="00261A05">
            <w:pPr>
              <w:ind w:right="42"/>
              <w:jc w:val="center"/>
            </w:pPr>
            <w:r w:rsidRPr="00261A05">
              <w:rPr>
                <w:sz w:val="22"/>
                <w:szCs w:val="22"/>
              </w:rPr>
              <w:t>Yatırım malı imalatı</w:t>
            </w:r>
          </w:p>
        </w:tc>
        <w:tc>
          <w:tcPr>
            <w:tcW w:w="964" w:type="dxa"/>
            <w:tcBorders>
              <w:top w:val="nil"/>
            </w:tcBorders>
            <w:vAlign w:val="center"/>
          </w:tcPr>
          <w:p w:rsidR="009B7C8B" w:rsidRPr="00261A05" w:rsidRDefault="009B7C8B" w:rsidP="00261A05">
            <w:pPr>
              <w:ind w:right="42"/>
              <w:jc w:val="center"/>
            </w:pPr>
            <w:r>
              <w:t>-1,1</w:t>
            </w:r>
          </w:p>
        </w:tc>
        <w:tc>
          <w:tcPr>
            <w:tcW w:w="964" w:type="dxa"/>
            <w:tcBorders>
              <w:top w:val="nil"/>
            </w:tcBorders>
            <w:vAlign w:val="center"/>
          </w:tcPr>
          <w:p w:rsidR="009B7C8B" w:rsidRPr="00261A05" w:rsidRDefault="009B7C8B" w:rsidP="00261A05">
            <w:pPr>
              <w:ind w:right="42"/>
              <w:jc w:val="center"/>
            </w:pPr>
            <w:r>
              <w:t>1,1</w:t>
            </w:r>
          </w:p>
        </w:tc>
        <w:tc>
          <w:tcPr>
            <w:tcW w:w="964" w:type="dxa"/>
            <w:tcBorders>
              <w:top w:val="nil"/>
            </w:tcBorders>
            <w:vAlign w:val="center"/>
          </w:tcPr>
          <w:p w:rsidR="009B7C8B" w:rsidRPr="00261A05" w:rsidRDefault="009B7C8B" w:rsidP="00261A05">
            <w:pPr>
              <w:ind w:right="42"/>
              <w:jc w:val="center"/>
            </w:pPr>
            <w:r>
              <w:t>0,5</w:t>
            </w:r>
          </w:p>
        </w:tc>
        <w:tc>
          <w:tcPr>
            <w:tcW w:w="965" w:type="dxa"/>
            <w:tcBorders>
              <w:top w:val="nil"/>
            </w:tcBorders>
            <w:vAlign w:val="center"/>
          </w:tcPr>
          <w:p w:rsidR="009B7C8B" w:rsidRPr="00261A05" w:rsidRDefault="009B7C8B" w:rsidP="00261A05">
            <w:pPr>
              <w:ind w:right="42"/>
              <w:jc w:val="center"/>
            </w:pPr>
            <w:r>
              <w:t>0,1</w:t>
            </w:r>
          </w:p>
        </w:tc>
        <w:tc>
          <w:tcPr>
            <w:tcW w:w="964" w:type="dxa"/>
            <w:tcBorders>
              <w:top w:val="nil"/>
              <w:right w:val="double" w:sz="4" w:space="0" w:color="auto"/>
            </w:tcBorders>
            <w:vAlign w:val="center"/>
          </w:tcPr>
          <w:p w:rsidR="009B7C8B" w:rsidRPr="00261A05" w:rsidRDefault="009B7C8B" w:rsidP="00261A05">
            <w:pPr>
              <w:ind w:right="42"/>
              <w:jc w:val="center"/>
            </w:pPr>
            <w:r>
              <w:t>0,4</w:t>
            </w:r>
          </w:p>
        </w:tc>
        <w:tc>
          <w:tcPr>
            <w:tcW w:w="964" w:type="dxa"/>
            <w:tcBorders>
              <w:top w:val="nil"/>
              <w:left w:val="double" w:sz="4" w:space="0" w:color="auto"/>
            </w:tcBorders>
            <w:vAlign w:val="center"/>
          </w:tcPr>
          <w:p w:rsidR="009B7C8B" w:rsidRPr="00261A05" w:rsidRDefault="009B7C8B" w:rsidP="00261A05">
            <w:pPr>
              <w:ind w:right="42"/>
              <w:jc w:val="center"/>
            </w:pPr>
            <w:r>
              <w:t>1,2</w:t>
            </w:r>
          </w:p>
        </w:tc>
        <w:tc>
          <w:tcPr>
            <w:tcW w:w="965" w:type="dxa"/>
            <w:tcBorders>
              <w:top w:val="nil"/>
            </w:tcBorders>
            <w:vAlign w:val="center"/>
          </w:tcPr>
          <w:p w:rsidR="009B7C8B" w:rsidRPr="00261A05" w:rsidRDefault="009B7C8B" w:rsidP="00261A05">
            <w:pPr>
              <w:ind w:right="42"/>
              <w:jc w:val="center"/>
            </w:pPr>
            <w:r>
              <w:t>1,0</w:t>
            </w:r>
          </w:p>
        </w:tc>
      </w:tr>
      <w:tr w:rsidR="009B7C8B">
        <w:trPr>
          <w:trHeight w:val="370"/>
        </w:trPr>
        <w:tc>
          <w:tcPr>
            <w:tcW w:w="3330" w:type="dxa"/>
            <w:tcBorders>
              <w:bottom w:val="nil"/>
            </w:tcBorders>
            <w:vAlign w:val="center"/>
          </w:tcPr>
          <w:p w:rsidR="009B7C8B" w:rsidRPr="00261A05" w:rsidRDefault="009B7C8B" w:rsidP="00261A05">
            <w:pPr>
              <w:ind w:right="42"/>
              <w:jc w:val="center"/>
              <w:rPr>
                <w:b/>
                <w:bCs/>
              </w:rPr>
            </w:pPr>
            <w:r w:rsidRPr="00261A05">
              <w:rPr>
                <w:b/>
                <w:bCs/>
                <w:sz w:val="22"/>
                <w:szCs w:val="22"/>
              </w:rPr>
              <w:t>Beklenti göstergeleri</w:t>
            </w:r>
          </w:p>
        </w:tc>
        <w:tc>
          <w:tcPr>
            <w:tcW w:w="964" w:type="dxa"/>
            <w:tcBorders>
              <w:bottom w:val="nil"/>
            </w:tcBorders>
            <w:vAlign w:val="center"/>
          </w:tcPr>
          <w:p w:rsidR="009B7C8B" w:rsidRPr="00261A05" w:rsidRDefault="009B7C8B" w:rsidP="00261A05">
            <w:pPr>
              <w:ind w:right="42"/>
              <w:jc w:val="center"/>
              <w:rPr>
                <w:b/>
                <w:bCs/>
              </w:rPr>
            </w:pPr>
          </w:p>
        </w:tc>
        <w:tc>
          <w:tcPr>
            <w:tcW w:w="964" w:type="dxa"/>
            <w:tcBorders>
              <w:bottom w:val="nil"/>
            </w:tcBorders>
            <w:vAlign w:val="center"/>
          </w:tcPr>
          <w:p w:rsidR="009B7C8B" w:rsidRPr="00261A05" w:rsidRDefault="009B7C8B" w:rsidP="00261A05">
            <w:pPr>
              <w:ind w:right="42"/>
              <w:jc w:val="center"/>
              <w:rPr>
                <w:b/>
                <w:bCs/>
              </w:rPr>
            </w:pPr>
          </w:p>
        </w:tc>
        <w:tc>
          <w:tcPr>
            <w:tcW w:w="964" w:type="dxa"/>
            <w:tcBorders>
              <w:bottom w:val="nil"/>
            </w:tcBorders>
            <w:vAlign w:val="center"/>
          </w:tcPr>
          <w:p w:rsidR="009B7C8B" w:rsidRPr="00261A05" w:rsidRDefault="009B7C8B" w:rsidP="00261A05">
            <w:pPr>
              <w:ind w:right="42"/>
              <w:jc w:val="center"/>
              <w:rPr>
                <w:b/>
                <w:bCs/>
              </w:rPr>
            </w:pPr>
          </w:p>
        </w:tc>
        <w:tc>
          <w:tcPr>
            <w:tcW w:w="965" w:type="dxa"/>
            <w:tcBorders>
              <w:bottom w:val="nil"/>
            </w:tcBorders>
            <w:vAlign w:val="center"/>
          </w:tcPr>
          <w:p w:rsidR="009B7C8B" w:rsidRPr="00261A05" w:rsidRDefault="009B7C8B" w:rsidP="00261A05">
            <w:pPr>
              <w:ind w:right="42"/>
              <w:jc w:val="center"/>
              <w:rPr>
                <w:b/>
                <w:bCs/>
              </w:rPr>
            </w:pPr>
          </w:p>
        </w:tc>
        <w:tc>
          <w:tcPr>
            <w:tcW w:w="964" w:type="dxa"/>
            <w:tcBorders>
              <w:bottom w:val="nil"/>
              <w:right w:val="double" w:sz="4" w:space="0" w:color="auto"/>
            </w:tcBorders>
            <w:vAlign w:val="center"/>
          </w:tcPr>
          <w:p w:rsidR="009B7C8B" w:rsidRPr="00261A05" w:rsidRDefault="009B7C8B" w:rsidP="00261A05">
            <w:pPr>
              <w:ind w:right="42"/>
              <w:jc w:val="center"/>
              <w:rPr>
                <w:b/>
                <w:bCs/>
              </w:rPr>
            </w:pPr>
          </w:p>
        </w:tc>
        <w:tc>
          <w:tcPr>
            <w:tcW w:w="964" w:type="dxa"/>
            <w:tcBorders>
              <w:left w:val="double" w:sz="4" w:space="0" w:color="auto"/>
              <w:bottom w:val="nil"/>
            </w:tcBorders>
            <w:vAlign w:val="center"/>
          </w:tcPr>
          <w:p w:rsidR="009B7C8B" w:rsidRPr="00261A05" w:rsidRDefault="009B7C8B" w:rsidP="00261A05">
            <w:pPr>
              <w:ind w:right="42"/>
              <w:jc w:val="center"/>
              <w:rPr>
                <w:b/>
                <w:bCs/>
              </w:rPr>
            </w:pPr>
          </w:p>
        </w:tc>
        <w:tc>
          <w:tcPr>
            <w:tcW w:w="965" w:type="dxa"/>
            <w:tcBorders>
              <w:bottom w:val="nil"/>
            </w:tcBorders>
            <w:vAlign w:val="center"/>
          </w:tcPr>
          <w:p w:rsidR="009B7C8B" w:rsidRPr="00261A05" w:rsidRDefault="009B7C8B" w:rsidP="00261A05">
            <w:pPr>
              <w:ind w:right="42"/>
              <w:jc w:val="center"/>
              <w:rPr>
                <w:b/>
                <w:bCs/>
              </w:rPr>
            </w:pPr>
          </w:p>
        </w:tc>
      </w:tr>
      <w:tr w:rsidR="009B7C8B">
        <w:trPr>
          <w:trHeight w:val="370"/>
        </w:trPr>
        <w:tc>
          <w:tcPr>
            <w:tcW w:w="3330" w:type="dxa"/>
            <w:tcBorders>
              <w:top w:val="nil"/>
              <w:bottom w:val="nil"/>
            </w:tcBorders>
            <w:vAlign w:val="center"/>
          </w:tcPr>
          <w:p w:rsidR="009B7C8B" w:rsidRPr="00261A05" w:rsidRDefault="009B7C8B" w:rsidP="00261A05">
            <w:pPr>
              <w:ind w:right="42"/>
              <w:jc w:val="center"/>
            </w:pPr>
            <w:r w:rsidRPr="00261A05">
              <w:rPr>
                <w:sz w:val="22"/>
                <w:szCs w:val="22"/>
              </w:rPr>
              <w:t>Tüketici güven endeksi (TÜİK)</w:t>
            </w:r>
          </w:p>
        </w:tc>
        <w:tc>
          <w:tcPr>
            <w:tcW w:w="964" w:type="dxa"/>
            <w:tcBorders>
              <w:top w:val="nil"/>
              <w:bottom w:val="nil"/>
            </w:tcBorders>
            <w:vAlign w:val="center"/>
          </w:tcPr>
          <w:p w:rsidR="009B7C8B" w:rsidRPr="00261A05" w:rsidRDefault="009B7C8B" w:rsidP="00261A05">
            <w:pPr>
              <w:ind w:right="42"/>
              <w:jc w:val="center"/>
            </w:pPr>
            <w:r>
              <w:t>1,7</w:t>
            </w:r>
          </w:p>
        </w:tc>
        <w:tc>
          <w:tcPr>
            <w:tcW w:w="964" w:type="dxa"/>
            <w:tcBorders>
              <w:top w:val="nil"/>
              <w:bottom w:val="nil"/>
            </w:tcBorders>
            <w:vAlign w:val="center"/>
          </w:tcPr>
          <w:p w:rsidR="009B7C8B" w:rsidRPr="00261A05" w:rsidRDefault="009B7C8B" w:rsidP="00261A05">
            <w:pPr>
              <w:ind w:right="42"/>
              <w:jc w:val="center"/>
            </w:pPr>
            <w:r>
              <w:t>-0,1</w:t>
            </w:r>
          </w:p>
        </w:tc>
        <w:tc>
          <w:tcPr>
            <w:tcW w:w="964" w:type="dxa"/>
            <w:tcBorders>
              <w:top w:val="nil"/>
              <w:bottom w:val="nil"/>
            </w:tcBorders>
            <w:vAlign w:val="center"/>
          </w:tcPr>
          <w:p w:rsidR="009B7C8B" w:rsidRPr="00261A05" w:rsidRDefault="009B7C8B" w:rsidP="00261A05">
            <w:pPr>
              <w:ind w:right="42"/>
              <w:jc w:val="center"/>
            </w:pPr>
            <w:r>
              <w:t>-1,3</w:t>
            </w:r>
          </w:p>
        </w:tc>
        <w:tc>
          <w:tcPr>
            <w:tcW w:w="965" w:type="dxa"/>
            <w:tcBorders>
              <w:top w:val="nil"/>
              <w:bottom w:val="nil"/>
            </w:tcBorders>
            <w:vAlign w:val="center"/>
          </w:tcPr>
          <w:p w:rsidR="009B7C8B" w:rsidRPr="00261A05" w:rsidRDefault="009B7C8B" w:rsidP="00261A05">
            <w:pPr>
              <w:ind w:right="42"/>
              <w:jc w:val="center"/>
            </w:pPr>
            <w:r>
              <w:t>1,1</w:t>
            </w:r>
          </w:p>
        </w:tc>
        <w:tc>
          <w:tcPr>
            <w:tcW w:w="964" w:type="dxa"/>
            <w:tcBorders>
              <w:top w:val="nil"/>
              <w:bottom w:val="nil"/>
              <w:right w:val="double" w:sz="4" w:space="0" w:color="auto"/>
            </w:tcBorders>
            <w:vAlign w:val="center"/>
          </w:tcPr>
          <w:p w:rsidR="009B7C8B" w:rsidRPr="00261A05" w:rsidRDefault="009B7C8B" w:rsidP="00261A05">
            <w:pPr>
              <w:ind w:right="42"/>
              <w:jc w:val="center"/>
            </w:pPr>
            <w:r>
              <w:t>1,3</w:t>
            </w:r>
          </w:p>
        </w:tc>
        <w:tc>
          <w:tcPr>
            <w:tcW w:w="964" w:type="dxa"/>
            <w:tcBorders>
              <w:top w:val="nil"/>
              <w:left w:val="double" w:sz="4" w:space="0" w:color="auto"/>
              <w:bottom w:val="nil"/>
            </w:tcBorders>
            <w:vAlign w:val="center"/>
          </w:tcPr>
          <w:p w:rsidR="009B7C8B" w:rsidRPr="00261A05" w:rsidRDefault="009B7C8B" w:rsidP="00261A05">
            <w:pPr>
              <w:ind w:right="42"/>
              <w:jc w:val="center"/>
            </w:pPr>
            <w:r>
              <w:t>2,9</w:t>
            </w:r>
          </w:p>
        </w:tc>
        <w:tc>
          <w:tcPr>
            <w:tcW w:w="965" w:type="dxa"/>
            <w:tcBorders>
              <w:top w:val="nil"/>
              <w:bottom w:val="nil"/>
            </w:tcBorders>
            <w:vAlign w:val="center"/>
          </w:tcPr>
          <w:p w:rsidR="009B7C8B" w:rsidRPr="00261A05" w:rsidRDefault="009B7C8B" w:rsidP="00261A05">
            <w:pPr>
              <w:ind w:right="42"/>
              <w:jc w:val="center"/>
            </w:pPr>
            <w:r>
              <w:t>0,9</w:t>
            </w:r>
          </w:p>
        </w:tc>
      </w:tr>
      <w:tr w:rsidR="009B7C8B">
        <w:trPr>
          <w:trHeight w:val="370"/>
        </w:trPr>
        <w:tc>
          <w:tcPr>
            <w:tcW w:w="3330" w:type="dxa"/>
            <w:tcBorders>
              <w:top w:val="nil"/>
            </w:tcBorders>
            <w:vAlign w:val="center"/>
          </w:tcPr>
          <w:p w:rsidR="009B7C8B" w:rsidRPr="00261A05" w:rsidRDefault="009B7C8B" w:rsidP="00261A05">
            <w:pPr>
              <w:ind w:right="42"/>
              <w:jc w:val="center"/>
            </w:pPr>
            <w:r w:rsidRPr="00261A05">
              <w:rPr>
                <w:sz w:val="22"/>
                <w:szCs w:val="22"/>
              </w:rPr>
              <w:t>Reel kesim güven endeksi</w:t>
            </w:r>
          </w:p>
        </w:tc>
        <w:tc>
          <w:tcPr>
            <w:tcW w:w="964" w:type="dxa"/>
            <w:tcBorders>
              <w:top w:val="nil"/>
            </w:tcBorders>
            <w:vAlign w:val="center"/>
          </w:tcPr>
          <w:p w:rsidR="009B7C8B" w:rsidRPr="00261A05" w:rsidRDefault="009B7C8B" w:rsidP="00261A05">
            <w:pPr>
              <w:ind w:right="42"/>
              <w:jc w:val="center"/>
            </w:pPr>
            <w:r>
              <w:t>-2,1</w:t>
            </w:r>
          </w:p>
        </w:tc>
        <w:tc>
          <w:tcPr>
            <w:tcW w:w="964" w:type="dxa"/>
            <w:tcBorders>
              <w:top w:val="nil"/>
            </w:tcBorders>
            <w:vAlign w:val="center"/>
          </w:tcPr>
          <w:p w:rsidR="009B7C8B" w:rsidRPr="00261A05" w:rsidRDefault="009B7C8B" w:rsidP="00261A05">
            <w:pPr>
              <w:ind w:right="42"/>
              <w:jc w:val="center"/>
            </w:pPr>
            <w:r>
              <w:t>2,8</w:t>
            </w:r>
          </w:p>
        </w:tc>
        <w:tc>
          <w:tcPr>
            <w:tcW w:w="964" w:type="dxa"/>
            <w:tcBorders>
              <w:top w:val="nil"/>
            </w:tcBorders>
            <w:vAlign w:val="center"/>
          </w:tcPr>
          <w:p w:rsidR="009B7C8B" w:rsidRPr="00261A05" w:rsidRDefault="009B7C8B" w:rsidP="00261A05">
            <w:pPr>
              <w:ind w:right="42"/>
              <w:jc w:val="center"/>
            </w:pPr>
            <w:r>
              <w:t>0,5</w:t>
            </w:r>
          </w:p>
        </w:tc>
        <w:tc>
          <w:tcPr>
            <w:tcW w:w="965" w:type="dxa"/>
            <w:tcBorders>
              <w:top w:val="nil"/>
            </w:tcBorders>
            <w:vAlign w:val="center"/>
          </w:tcPr>
          <w:p w:rsidR="009B7C8B" w:rsidRPr="00261A05" w:rsidRDefault="009B7C8B" w:rsidP="00261A05">
            <w:pPr>
              <w:ind w:right="42"/>
              <w:jc w:val="center"/>
            </w:pPr>
            <w:r>
              <w:t>-3,3</w:t>
            </w:r>
          </w:p>
        </w:tc>
        <w:tc>
          <w:tcPr>
            <w:tcW w:w="964" w:type="dxa"/>
            <w:tcBorders>
              <w:top w:val="nil"/>
              <w:right w:val="double" w:sz="4" w:space="0" w:color="auto"/>
            </w:tcBorders>
            <w:vAlign w:val="center"/>
          </w:tcPr>
          <w:p w:rsidR="009B7C8B" w:rsidRPr="00261A05" w:rsidRDefault="009B7C8B" w:rsidP="00261A05">
            <w:pPr>
              <w:ind w:right="42"/>
              <w:jc w:val="center"/>
            </w:pPr>
            <w:r>
              <w:t>0,7</w:t>
            </w:r>
          </w:p>
        </w:tc>
        <w:tc>
          <w:tcPr>
            <w:tcW w:w="964" w:type="dxa"/>
            <w:tcBorders>
              <w:top w:val="nil"/>
              <w:left w:val="double" w:sz="4" w:space="0" w:color="auto"/>
            </w:tcBorders>
            <w:vAlign w:val="center"/>
          </w:tcPr>
          <w:p w:rsidR="009B7C8B" w:rsidRPr="00261A05" w:rsidRDefault="009B7C8B" w:rsidP="00261A05">
            <w:pPr>
              <w:ind w:right="42"/>
              <w:jc w:val="center"/>
            </w:pPr>
            <w:r>
              <w:t>-0,7</w:t>
            </w:r>
          </w:p>
        </w:tc>
        <w:tc>
          <w:tcPr>
            <w:tcW w:w="965" w:type="dxa"/>
            <w:tcBorders>
              <w:top w:val="nil"/>
            </w:tcBorders>
            <w:vAlign w:val="center"/>
          </w:tcPr>
          <w:p w:rsidR="009B7C8B" w:rsidRPr="00261A05" w:rsidRDefault="009B7C8B" w:rsidP="00261A05">
            <w:pPr>
              <w:ind w:right="42"/>
              <w:jc w:val="center"/>
            </w:pPr>
            <w:r>
              <w:t>-1,8</w:t>
            </w:r>
          </w:p>
        </w:tc>
      </w:tr>
      <w:tr w:rsidR="009B7C8B">
        <w:trPr>
          <w:trHeight w:val="370"/>
        </w:trPr>
        <w:tc>
          <w:tcPr>
            <w:tcW w:w="3330" w:type="dxa"/>
            <w:tcBorders>
              <w:bottom w:val="nil"/>
            </w:tcBorders>
            <w:vAlign w:val="center"/>
          </w:tcPr>
          <w:p w:rsidR="009B7C8B" w:rsidRPr="00261A05" w:rsidRDefault="009B7C8B" w:rsidP="00261A05">
            <w:pPr>
              <w:ind w:right="42"/>
              <w:jc w:val="center"/>
              <w:rPr>
                <w:b/>
                <w:bCs/>
              </w:rPr>
            </w:pPr>
            <w:r w:rsidRPr="00261A05">
              <w:rPr>
                <w:b/>
                <w:bCs/>
                <w:sz w:val="22"/>
                <w:szCs w:val="22"/>
              </w:rPr>
              <w:t>Finansal göstergeler</w:t>
            </w:r>
          </w:p>
        </w:tc>
        <w:tc>
          <w:tcPr>
            <w:tcW w:w="964" w:type="dxa"/>
            <w:tcBorders>
              <w:bottom w:val="nil"/>
            </w:tcBorders>
            <w:vAlign w:val="center"/>
          </w:tcPr>
          <w:p w:rsidR="009B7C8B" w:rsidRPr="00261A05" w:rsidRDefault="009B7C8B" w:rsidP="00261A05">
            <w:pPr>
              <w:ind w:right="42"/>
              <w:jc w:val="center"/>
            </w:pPr>
          </w:p>
        </w:tc>
        <w:tc>
          <w:tcPr>
            <w:tcW w:w="964" w:type="dxa"/>
            <w:tcBorders>
              <w:bottom w:val="nil"/>
            </w:tcBorders>
            <w:vAlign w:val="center"/>
          </w:tcPr>
          <w:p w:rsidR="009B7C8B" w:rsidRPr="00261A05" w:rsidRDefault="009B7C8B" w:rsidP="00261A05">
            <w:pPr>
              <w:ind w:right="42"/>
              <w:jc w:val="center"/>
              <w:rPr>
                <w:b/>
                <w:bCs/>
              </w:rPr>
            </w:pPr>
          </w:p>
        </w:tc>
        <w:tc>
          <w:tcPr>
            <w:tcW w:w="964" w:type="dxa"/>
            <w:tcBorders>
              <w:bottom w:val="nil"/>
            </w:tcBorders>
            <w:vAlign w:val="center"/>
          </w:tcPr>
          <w:p w:rsidR="009B7C8B" w:rsidRPr="00261A05" w:rsidRDefault="009B7C8B" w:rsidP="00261A05">
            <w:pPr>
              <w:ind w:right="42"/>
              <w:jc w:val="center"/>
              <w:rPr>
                <w:b/>
                <w:bCs/>
              </w:rPr>
            </w:pPr>
          </w:p>
        </w:tc>
        <w:tc>
          <w:tcPr>
            <w:tcW w:w="965" w:type="dxa"/>
            <w:tcBorders>
              <w:bottom w:val="nil"/>
            </w:tcBorders>
            <w:vAlign w:val="center"/>
          </w:tcPr>
          <w:p w:rsidR="009B7C8B" w:rsidRPr="00261A05" w:rsidRDefault="009B7C8B" w:rsidP="00261A05">
            <w:pPr>
              <w:ind w:right="42"/>
              <w:jc w:val="center"/>
              <w:rPr>
                <w:b/>
                <w:bCs/>
              </w:rPr>
            </w:pPr>
          </w:p>
        </w:tc>
        <w:tc>
          <w:tcPr>
            <w:tcW w:w="964" w:type="dxa"/>
            <w:tcBorders>
              <w:bottom w:val="nil"/>
              <w:right w:val="double" w:sz="4" w:space="0" w:color="auto"/>
            </w:tcBorders>
            <w:vAlign w:val="center"/>
          </w:tcPr>
          <w:p w:rsidR="009B7C8B" w:rsidRPr="00261A05" w:rsidRDefault="009B7C8B" w:rsidP="00261A05">
            <w:pPr>
              <w:ind w:right="42"/>
              <w:jc w:val="center"/>
              <w:rPr>
                <w:b/>
                <w:bCs/>
              </w:rPr>
            </w:pPr>
          </w:p>
        </w:tc>
        <w:tc>
          <w:tcPr>
            <w:tcW w:w="964" w:type="dxa"/>
            <w:tcBorders>
              <w:left w:val="double" w:sz="4" w:space="0" w:color="auto"/>
              <w:bottom w:val="nil"/>
            </w:tcBorders>
            <w:vAlign w:val="center"/>
          </w:tcPr>
          <w:p w:rsidR="009B7C8B" w:rsidRPr="00261A05" w:rsidRDefault="009B7C8B" w:rsidP="00261A05">
            <w:pPr>
              <w:ind w:right="42"/>
              <w:jc w:val="center"/>
              <w:rPr>
                <w:b/>
                <w:bCs/>
              </w:rPr>
            </w:pPr>
          </w:p>
        </w:tc>
        <w:tc>
          <w:tcPr>
            <w:tcW w:w="965" w:type="dxa"/>
            <w:tcBorders>
              <w:bottom w:val="nil"/>
            </w:tcBorders>
            <w:vAlign w:val="center"/>
          </w:tcPr>
          <w:p w:rsidR="009B7C8B" w:rsidRPr="00261A05" w:rsidRDefault="009B7C8B" w:rsidP="00261A05">
            <w:pPr>
              <w:ind w:right="42"/>
              <w:jc w:val="center"/>
              <w:rPr>
                <w:b/>
                <w:bCs/>
              </w:rPr>
            </w:pPr>
          </w:p>
        </w:tc>
      </w:tr>
      <w:tr w:rsidR="009B7C8B">
        <w:trPr>
          <w:trHeight w:val="370"/>
        </w:trPr>
        <w:tc>
          <w:tcPr>
            <w:tcW w:w="3330" w:type="dxa"/>
            <w:tcBorders>
              <w:top w:val="nil"/>
            </w:tcBorders>
            <w:vAlign w:val="center"/>
          </w:tcPr>
          <w:p w:rsidR="009B7C8B" w:rsidRPr="00261A05" w:rsidRDefault="009B7C8B" w:rsidP="00261A05">
            <w:pPr>
              <w:ind w:right="42"/>
              <w:jc w:val="center"/>
            </w:pPr>
            <w:r w:rsidRPr="00261A05">
              <w:rPr>
                <w:sz w:val="22"/>
                <w:szCs w:val="22"/>
              </w:rPr>
              <w:t>İMKB 100</w:t>
            </w:r>
          </w:p>
        </w:tc>
        <w:tc>
          <w:tcPr>
            <w:tcW w:w="964" w:type="dxa"/>
            <w:tcBorders>
              <w:top w:val="nil"/>
            </w:tcBorders>
            <w:vAlign w:val="center"/>
          </w:tcPr>
          <w:p w:rsidR="009B7C8B" w:rsidRPr="00261A05" w:rsidRDefault="009B7C8B" w:rsidP="00261A05">
            <w:pPr>
              <w:ind w:right="42"/>
              <w:jc w:val="center"/>
            </w:pPr>
            <w:r>
              <w:t>4,1</w:t>
            </w:r>
          </w:p>
        </w:tc>
        <w:tc>
          <w:tcPr>
            <w:tcW w:w="964" w:type="dxa"/>
            <w:tcBorders>
              <w:top w:val="nil"/>
            </w:tcBorders>
            <w:vAlign w:val="center"/>
          </w:tcPr>
          <w:p w:rsidR="009B7C8B" w:rsidRPr="00261A05" w:rsidRDefault="009B7C8B" w:rsidP="00261A05">
            <w:pPr>
              <w:ind w:right="42"/>
              <w:jc w:val="center"/>
            </w:pPr>
            <w:r>
              <w:t>-3,8</w:t>
            </w:r>
          </w:p>
        </w:tc>
        <w:tc>
          <w:tcPr>
            <w:tcW w:w="964" w:type="dxa"/>
            <w:tcBorders>
              <w:top w:val="nil"/>
            </w:tcBorders>
            <w:vAlign w:val="center"/>
          </w:tcPr>
          <w:p w:rsidR="009B7C8B" w:rsidRPr="00261A05" w:rsidRDefault="009B7C8B" w:rsidP="00261A05">
            <w:pPr>
              <w:ind w:right="42"/>
              <w:jc w:val="center"/>
            </w:pPr>
            <w:r>
              <w:t>6,2</w:t>
            </w:r>
          </w:p>
        </w:tc>
        <w:tc>
          <w:tcPr>
            <w:tcW w:w="965" w:type="dxa"/>
            <w:tcBorders>
              <w:top w:val="nil"/>
            </w:tcBorders>
            <w:vAlign w:val="center"/>
          </w:tcPr>
          <w:p w:rsidR="009B7C8B" w:rsidRPr="00261A05" w:rsidRDefault="009B7C8B" w:rsidP="00261A05">
            <w:pPr>
              <w:ind w:right="42"/>
              <w:jc w:val="center"/>
            </w:pPr>
            <w:r>
              <w:t>-0,6</w:t>
            </w:r>
          </w:p>
        </w:tc>
        <w:tc>
          <w:tcPr>
            <w:tcW w:w="964" w:type="dxa"/>
            <w:tcBorders>
              <w:top w:val="nil"/>
              <w:right w:val="double" w:sz="4" w:space="0" w:color="auto"/>
            </w:tcBorders>
            <w:vAlign w:val="center"/>
          </w:tcPr>
          <w:p w:rsidR="009B7C8B" w:rsidRPr="00261A05" w:rsidRDefault="009B7C8B" w:rsidP="00261A05">
            <w:pPr>
              <w:ind w:right="42"/>
              <w:jc w:val="center"/>
            </w:pPr>
            <w:r>
              <w:t>7,9</w:t>
            </w:r>
          </w:p>
        </w:tc>
        <w:tc>
          <w:tcPr>
            <w:tcW w:w="964" w:type="dxa"/>
            <w:tcBorders>
              <w:top w:val="nil"/>
              <w:left w:val="double" w:sz="4" w:space="0" w:color="auto"/>
            </w:tcBorders>
            <w:vAlign w:val="center"/>
          </w:tcPr>
          <w:p w:rsidR="009B7C8B" w:rsidRPr="00261A05" w:rsidRDefault="009B7C8B" w:rsidP="00261A05">
            <w:pPr>
              <w:ind w:right="42"/>
              <w:jc w:val="center"/>
            </w:pPr>
            <w:r>
              <w:t>9,3</w:t>
            </w:r>
          </w:p>
        </w:tc>
        <w:tc>
          <w:tcPr>
            <w:tcW w:w="965" w:type="dxa"/>
            <w:tcBorders>
              <w:top w:val="nil"/>
            </w:tcBorders>
            <w:vAlign w:val="center"/>
          </w:tcPr>
          <w:p w:rsidR="009B7C8B" w:rsidRPr="00261A05" w:rsidRDefault="009B7C8B" w:rsidP="00261A05">
            <w:pPr>
              <w:ind w:right="42"/>
              <w:jc w:val="center"/>
            </w:pPr>
            <w:r>
              <w:t>6,2</w:t>
            </w:r>
          </w:p>
        </w:tc>
      </w:tr>
      <w:tr w:rsidR="009B7C8B">
        <w:trPr>
          <w:trHeight w:val="370"/>
        </w:trPr>
        <w:tc>
          <w:tcPr>
            <w:tcW w:w="3330" w:type="dxa"/>
            <w:tcBorders>
              <w:bottom w:val="nil"/>
            </w:tcBorders>
            <w:vAlign w:val="center"/>
          </w:tcPr>
          <w:p w:rsidR="009B7C8B" w:rsidRPr="00261A05" w:rsidRDefault="009B7C8B" w:rsidP="00261A05">
            <w:pPr>
              <w:ind w:right="42"/>
              <w:jc w:val="center"/>
              <w:rPr>
                <w:b/>
                <w:bCs/>
              </w:rPr>
            </w:pPr>
            <w:r w:rsidRPr="00261A05">
              <w:rPr>
                <w:b/>
                <w:bCs/>
                <w:sz w:val="22"/>
                <w:szCs w:val="22"/>
              </w:rPr>
              <w:t>Diğerleri</w:t>
            </w:r>
          </w:p>
        </w:tc>
        <w:tc>
          <w:tcPr>
            <w:tcW w:w="964" w:type="dxa"/>
            <w:tcBorders>
              <w:bottom w:val="nil"/>
            </w:tcBorders>
            <w:vAlign w:val="center"/>
          </w:tcPr>
          <w:p w:rsidR="009B7C8B" w:rsidRPr="00261A05" w:rsidRDefault="009B7C8B" w:rsidP="00261A05">
            <w:pPr>
              <w:ind w:right="42"/>
              <w:jc w:val="center"/>
            </w:pPr>
          </w:p>
        </w:tc>
        <w:tc>
          <w:tcPr>
            <w:tcW w:w="964" w:type="dxa"/>
            <w:tcBorders>
              <w:bottom w:val="nil"/>
            </w:tcBorders>
            <w:vAlign w:val="center"/>
          </w:tcPr>
          <w:p w:rsidR="009B7C8B" w:rsidRPr="00261A05" w:rsidRDefault="009B7C8B" w:rsidP="00261A05">
            <w:pPr>
              <w:ind w:right="42"/>
              <w:jc w:val="center"/>
            </w:pPr>
          </w:p>
        </w:tc>
        <w:tc>
          <w:tcPr>
            <w:tcW w:w="964" w:type="dxa"/>
            <w:tcBorders>
              <w:bottom w:val="nil"/>
            </w:tcBorders>
            <w:vAlign w:val="center"/>
          </w:tcPr>
          <w:p w:rsidR="009B7C8B" w:rsidRPr="00261A05" w:rsidRDefault="009B7C8B" w:rsidP="00261A05">
            <w:pPr>
              <w:ind w:right="42"/>
              <w:jc w:val="center"/>
            </w:pPr>
          </w:p>
        </w:tc>
        <w:tc>
          <w:tcPr>
            <w:tcW w:w="965" w:type="dxa"/>
            <w:tcBorders>
              <w:bottom w:val="nil"/>
            </w:tcBorders>
            <w:vAlign w:val="center"/>
          </w:tcPr>
          <w:p w:rsidR="009B7C8B" w:rsidRPr="00261A05" w:rsidRDefault="009B7C8B" w:rsidP="00261A05">
            <w:pPr>
              <w:ind w:right="42"/>
              <w:jc w:val="center"/>
            </w:pPr>
          </w:p>
        </w:tc>
        <w:tc>
          <w:tcPr>
            <w:tcW w:w="964" w:type="dxa"/>
            <w:tcBorders>
              <w:bottom w:val="nil"/>
              <w:right w:val="double" w:sz="4" w:space="0" w:color="auto"/>
            </w:tcBorders>
            <w:vAlign w:val="center"/>
          </w:tcPr>
          <w:p w:rsidR="009B7C8B" w:rsidRPr="00261A05" w:rsidRDefault="009B7C8B" w:rsidP="00261A05">
            <w:pPr>
              <w:ind w:right="42"/>
              <w:jc w:val="center"/>
            </w:pPr>
          </w:p>
        </w:tc>
        <w:tc>
          <w:tcPr>
            <w:tcW w:w="964" w:type="dxa"/>
            <w:tcBorders>
              <w:left w:val="double" w:sz="4" w:space="0" w:color="auto"/>
              <w:bottom w:val="nil"/>
            </w:tcBorders>
            <w:vAlign w:val="center"/>
          </w:tcPr>
          <w:p w:rsidR="009B7C8B" w:rsidRPr="00261A05" w:rsidRDefault="009B7C8B" w:rsidP="00261A05">
            <w:pPr>
              <w:ind w:right="42"/>
              <w:jc w:val="center"/>
            </w:pPr>
          </w:p>
        </w:tc>
        <w:tc>
          <w:tcPr>
            <w:tcW w:w="965" w:type="dxa"/>
            <w:tcBorders>
              <w:bottom w:val="nil"/>
            </w:tcBorders>
            <w:vAlign w:val="center"/>
          </w:tcPr>
          <w:p w:rsidR="009B7C8B" w:rsidRPr="00261A05" w:rsidRDefault="009B7C8B" w:rsidP="00261A05">
            <w:pPr>
              <w:ind w:right="42"/>
              <w:jc w:val="center"/>
            </w:pPr>
          </w:p>
        </w:tc>
      </w:tr>
      <w:tr w:rsidR="009B7C8B">
        <w:trPr>
          <w:trHeight w:val="370"/>
        </w:trPr>
        <w:tc>
          <w:tcPr>
            <w:tcW w:w="3330" w:type="dxa"/>
            <w:tcBorders>
              <w:top w:val="nil"/>
              <w:bottom w:val="nil"/>
            </w:tcBorders>
            <w:vAlign w:val="center"/>
          </w:tcPr>
          <w:p w:rsidR="009B7C8B" w:rsidRPr="00261A05" w:rsidRDefault="009B7C8B" w:rsidP="00261A05">
            <w:pPr>
              <w:ind w:right="42"/>
              <w:jc w:val="center"/>
            </w:pPr>
            <w:r w:rsidRPr="00261A05">
              <w:rPr>
                <w:sz w:val="22"/>
                <w:szCs w:val="22"/>
              </w:rPr>
              <w:t>Özel tüketim vergisi (ÖTV)</w:t>
            </w:r>
          </w:p>
        </w:tc>
        <w:tc>
          <w:tcPr>
            <w:tcW w:w="964" w:type="dxa"/>
            <w:tcBorders>
              <w:top w:val="nil"/>
              <w:bottom w:val="nil"/>
            </w:tcBorders>
            <w:vAlign w:val="center"/>
          </w:tcPr>
          <w:p w:rsidR="009B7C8B" w:rsidRPr="00261A05" w:rsidRDefault="009B7C8B" w:rsidP="00261A05">
            <w:pPr>
              <w:ind w:right="42"/>
              <w:jc w:val="center"/>
            </w:pPr>
            <w:r>
              <w:t>8,4</w:t>
            </w:r>
          </w:p>
        </w:tc>
        <w:tc>
          <w:tcPr>
            <w:tcW w:w="964" w:type="dxa"/>
            <w:tcBorders>
              <w:top w:val="nil"/>
              <w:bottom w:val="nil"/>
            </w:tcBorders>
            <w:vAlign w:val="center"/>
          </w:tcPr>
          <w:p w:rsidR="009B7C8B" w:rsidRPr="00261A05" w:rsidRDefault="009B7C8B" w:rsidP="00261A05">
            <w:pPr>
              <w:ind w:right="42"/>
              <w:jc w:val="center"/>
            </w:pPr>
            <w:r>
              <w:t>-8,5</w:t>
            </w:r>
          </w:p>
        </w:tc>
        <w:tc>
          <w:tcPr>
            <w:tcW w:w="964" w:type="dxa"/>
            <w:tcBorders>
              <w:top w:val="nil"/>
              <w:bottom w:val="nil"/>
            </w:tcBorders>
            <w:vAlign w:val="center"/>
          </w:tcPr>
          <w:p w:rsidR="009B7C8B" w:rsidRPr="00261A05" w:rsidRDefault="009B7C8B" w:rsidP="00261A05">
            <w:pPr>
              <w:ind w:right="42"/>
              <w:jc w:val="center"/>
            </w:pPr>
            <w:r>
              <w:t>-3,5</w:t>
            </w:r>
          </w:p>
        </w:tc>
        <w:tc>
          <w:tcPr>
            <w:tcW w:w="965" w:type="dxa"/>
            <w:tcBorders>
              <w:top w:val="nil"/>
              <w:bottom w:val="nil"/>
            </w:tcBorders>
            <w:vAlign w:val="center"/>
          </w:tcPr>
          <w:p w:rsidR="009B7C8B" w:rsidRPr="00261A05" w:rsidRDefault="009B7C8B" w:rsidP="00261A05">
            <w:pPr>
              <w:ind w:right="42"/>
              <w:jc w:val="center"/>
            </w:pPr>
            <w:r>
              <w:t>5,8</w:t>
            </w:r>
          </w:p>
        </w:tc>
        <w:tc>
          <w:tcPr>
            <w:tcW w:w="964" w:type="dxa"/>
            <w:tcBorders>
              <w:top w:val="nil"/>
              <w:bottom w:val="nil"/>
              <w:right w:val="double" w:sz="4" w:space="0" w:color="auto"/>
            </w:tcBorders>
            <w:vAlign w:val="center"/>
          </w:tcPr>
          <w:p w:rsidR="009B7C8B" w:rsidRPr="00261A05" w:rsidRDefault="009B7C8B" w:rsidP="00261A05">
            <w:pPr>
              <w:ind w:right="42"/>
              <w:jc w:val="center"/>
            </w:pPr>
            <w:r>
              <w:t>**</w:t>
            </w:r>
          </w:p>
        </w:tc>
        <w:tc>
          <w:tcPr>
            <w:tcW w:w="964" w:type="dxa"/>
            <w:tcBorders>
              <w:top w:val="nil"/>
              <w:left w:val="double" w:sz="4" w:space="0" w:color="auto"/>
              <w:bottom w:val="nil"/>
            </w:tcBorders>
            <w:vAlign w:val="center"/>
          </w:tcPr>
          <w:p w:rsidR="009B7C8B" w:rsidRPr="00261A05" w:rsidRDefault="009B7C8B" w:rsidP="00261A05">
            <w:pPr>
              <w:ind w:right="42"/>
              <w:jc w:val="center"/>
            </w:pPr>
            <w:r>
              <w:t>0,8</w:t>
            </w:r>
          </w:p>
        </w:tc>
        <w:tc>
          <w:tcPr>
            <w:tcW w:w="965" w:type="dxa"/>
            <w:tcBorders>
              <w:top w:val="nil"/>
              <w:bottom w:val="nil"/>
            </w:tcBorders>
            <w:vAlign w:val="center"/>
          </w:tcPr>
          <w:p w:rsidR="009B7C8B" w:rsidRPr="00261A05" w:rsidRDefault="009B7C8B" w:rsidP="00261A05">
            <w:pPr>
              <w:ind w:right="42"/>
              <w:jc w:val="center"/>
            </w:pPr>
            <w:r>
              <w:t>0,2</w:t>
            </w:r>
          </w:p>
        </w:tc>
      </w:tr>
      <w:tr w:rsidR="009B7C8B">
        <w:trPr>
          <w:trHeight w:val="370"/>
        </w:trPr>
        <w:tc>
          <w:tcPr>
            <w:tcW w:w="3330" w:type="dxa"/>
            <w:tcBorders>
              <w:top w:val="nil"/>
              <w:bottom w:val="nil"/>
            </w:tcBorders>
            <w:vAlign w:val="center"/>
          </w:tcPr>
          <w:p w:rsidR="009B7C8B" w:rsidRPr="00261A05" w:rsidRDefault="009B7C8B" w:rsidP="00261A05">
            <w:pPr>
              <w:ind w:right="42"/>
              <w:jc w:val="center"/>
            </w:pPr>
            <w:r w:rsidRPr="00261A05">
              <w:rPr>
                <w:sz w:val="22"/>
                <w:szCs w:val="22"/>
              </w:rPr>
              <w:t>Binek otomobil üretimi</w:t>
            </w:r>
          </w:p>
        </w:tc>
        <w:tc>
          <w:tcPr>
            <w:tcW w:w="964" w:type="dxa"/>
            <w:tcBorders>
              <w:top w:val="nil"/>
              <w:bottom w:val="nil"/>
            </w:tcBorders>
            <w:vAlign w:val="center"/>
          </w:tcPr>
          <w:p w:rsidR="009B7C8B" w:rsidRPr="00261A05" w:rsidRDefault="009B7C8B" w:rsidP="00261A05">
            <w:pPr>
              <w:ind w:right="42"/>
              <w:jc w:val="center"/>
            </w:pPr>
            <w:r>
              <w:t>2,2</w:t>
            </w:r>
          </w:p>
        </w:tc>
        <w:tc>
          <w:tcPr>
            <w:tcW w:w="964" w:type="dxa"/>
            <w:tcBorders>
              <w:top w:val="nil"/>
              <w:bottom w:val="nil"/>
            </w:tcBorders>
            <w:vAlign w:val="center"/>
          </w:tcPr>
          <w:p w:rsidR="009B7C8B" w:rsidRPr="00261A05" w:rsidRDefault="009B7C8B" w:rsidP="00261A05">
            <w:pPr>
              <w:ind w:right="42"/>
              <w:jc w:val="center"/>
            </w:pPr>
            <w:r>
              <w:t>4,7</w:t>
            </w:r>
          </w:p>
        </w:tc>
        <w:tc>
          <w:tcPr>
            <w:tcW w:w="964" w:type="dxa"/>
            <w:tcBorders>
              <w:top w:val="nil"/>
              <w:bottom w:val="nil"/>
            </w:tcBorders>
            <w:vAlign w:val="center"/>
          </w:tcPr>
          <w:p w:rsidR="009B7C8B" w:rsidRPr="00261A05" w:rsidRDefault="009B7C8B" w:rsidP="00261A05">
            <w:pPr>
              <w:ind w:right="42"/>
              <w:jc w:val="center"/>
            </w:pPr>
            <w:r>
              <w:t>-2,0</w:t>
            </w:r>
          </w:p>
        </w:tc>
        <w:tc>
          <w:tcPr>
            <w:tcW w:w="965" w:type="dxa"/>
            <w:tcBorders>
              <w:top w:val="nil"/>
              <w:bottom w:val="nil"/>
            </w:tcBorders>
            <w:vAlign w:val="center"/>
          </w:tcPr>
          <w:p w:rsidR="009B7C8B" w:rsidRPr="00261A05" w:rsidRDefault="009B7C8B" w:rsidP="00261A05">
            <w:pPr>
              <w:ind w:right="42"/>
              <w:jc w:val="center"/>
            </w:pPr>
            <w:r>
              <w:t>4,3</w:t>
            </w:r>
          </w:p>
        </w:tc>
        <w:tc>
          <w:tcPr>
            <w:tcW w:w="964" w:type="dxa"/>
            <w:tcBorders>
              <w:top w:val="nil"/>
              <w:bottom w:val="nil"/>
              <w:right w:val="double" w:sz="4" w:space="0" w:color="auto"/>
            </w:tcBorders>
            <w:vAlign w:val="center"/>
          </w:tcPr>
          <w:p w:rsidR="009B7C8B" w:rsidRPr="00261A05" w:rsidRDefault="009B7C8B" w:rsidP="00261A05">
            <w:pPr>
              <w:ind w:right="42"/>
              <w:jc w:val="center"/>
            </w:pPr>
            <w:r>
              <w:t>-2,3</w:t>
            </w:r>
          </w:p>
        </w:tc>
        <w:tc>
          <w:tcPr>
            <w:tcW w:w="964" w:type="dxa"/>
            <w:tcBorders>
              <w:top w:val="nil"/>
              <w:left w:val="double" w:sz="4" w:space="0" w:color="auto"/>
              <w:bottom w:val="nil"/>
            </w:tcBorders>
            <w:vAlign w:val="center"/>
          </w:tcPr>
          <w:p w:rsidR="009B7C8B" w:rsidRPr="00261A05" w:rsidRDefault="009B7C8B" w:rsidP="00261A05">
            <w:pPr>
              <w:ind w:right="42"/>
              <w:jc w:val="center"/>
            </w:pPr>
            <w:r>
              <w:t>-2,4</w:t>
            </w:r>
          </w:p>
        </w:tc>
        <w:tc>
          <w:tcPr>
            <w:tcW w:w="965" w:type="dxa"/>
            <w:tcBorders>
              <w:top w:val="nil"/>
              <w:bottom w:val="nil"/>
            </w:tcBorders>
            <w:vAlign w:val="center"/>
          </w:tcPr>
          <w:p w:rsidR="009B7C8B" w:rsidRPr="00261A05" w:rsidRDefault="009B7C8B" w:rsidP="00261A05">
            <w:pPr>
              <w:ind w:right="42"/>
              <w:jc w:val="center"/>
            </w:pPr>
            <w:r>
              <w:t>3,4</w:t>
            </w:r>
          </w:p>
        </w:tc>
      </w:tr>
      <w:tr w:rsidR="009B7C8B">
        <w:trPr>
          <w:trHeight w:val="370"/>
        </w:trPr>
        <w:tc>
          <w:tcPr>
            <w:tcW w:w="3330" w:type="dxa"/>
            <w:tcBorders>
              <w:top w:val="nil"/>
            </w:tcBorders>
            <w:vAlign w:val="center"/>
          </w:tcPr>
          <w:p w:rsidR="009B7C8B" w:rsidRPr="00261A05" w:rsidRDefault="009B7C8B" w:rsidP="00261A05">
            <w:pPr>
              <w:ind w:right="42"/>
              <w:jc w:val="center"/>
            </w:pPr>
            <w:r w:rsidRPr="00261A05">
              <w:rPr>
                <w:sz w:val="22"/>
                <w:szCs w:val="22"/>
              </w:rPr>
              <w:t>Binek olmayan otomobil üretimi</w:t>
            </w:r>
          </w:p>
        </w:tc>
        <w:tc>
          <w:tcPr>
            <w:tcW w:w="964" w:type="dxa"/>
            <w:tcBorders>
              <w:top w:val="nil"/>
            </w:tcBorders>
            <w:vAlign w:val="center"/>
          </w:tcPr>
          <w:p w:rsidR="009B7C8B" w:rsidRPr="00261A05" w:rsidRDefault="009B7C8B" w:rsidP="00261A05">
            <w:pPr>
              <w:ind w:right="42"/>
              <w:jc w:val="center"/>
            </w:pPr>
            <w:r>
              <w:t>50,5</w:t>
            </w:r>
          </w:p>
        </w:tc>
        <w:tc>
          <w:tcPr>
            <w:tcW w:w="964" w:type="dxa"/>
            <w:tcBorders>
              <w:top w:val="nil"/>
            </w:tcBorders>
            <w:vAlign w:val="center"/>
          </w:tcPr>
          <w:p w:rsidR="009B7C8B" w:rsidRPr="00261A05" w:rsidRDefault="009B7C8B" w:rsidP="00261A05">
            <w:pPr>
              <w:ind w:right="42"/>
              <w:jc w:val="center"/>
            </w:pPr>
            <w:r>
              <w:t>-5,8</w:t>
            </w:r>
          </w:p>
        </w:tc>
        <w:tc>
          <w:tcPr>
            <w:tcW w:w="964" w:type="dxa"/>
            <w:tcBorders>
              <w:top w:val="nil"/>
            </w:tcBorders>
            <w:vAlign w:val="center"/>
          </w:tcPr>
          <w:p w:rsidR="009B7C8B" w:rsidRPr="00261A05" w:rsidRDefault="009B7C8B" w:rsidP="00261A05">
            <w:pPr>
              <w:ind w:right="42"/>
              <w:jc w:val="center"/>
            </w:pPr>
            <w:r>
              <w:t>-4,2</w:t>
            </w:r>
          </w:p>
        </w:tc>
        <w:tc>
          <w:tcPr>
            <w:tcW w:w="965" w:type="dxa"/>
            <w:tcBorders>
              <w:top w:val="nil"/>
            </w:tcBorders>
            <w:vAlign w:val="center"/>
          </w:tcPr>
          <w:p w:rsidR="009B7C8B" w:rsidRPr="00261A05" w:rsidRDefault="009B7C8B" w:rsidP="00261A05">
            <w:pPr>
              <w:ind w:right="42"/>
              <w:jc w:val="center"/>
            </w:pPr>
            <w:r>
              <w:t>1,9</w:t>
            </w:r>
          </w:p>
        </w:tc>
        <w:tc>
          <w:tcPr>
            <w:tcW w:w="964" w:type="dxa"/>
            <w:tcBorders>
              <w:top w:val="nil"/>
              <w:right w:val="double" w:sz="4" w:space="0" w:color="auto"/>
            </w:tcBorders>
            <w:vAlign w:val="center"/>
          </w:tcPr>
          <w:p w:rsidR="009B7C8B" w:rsidRPr="00261A05" w:rsidRDefault="009B7C8B" w:rsidP="00261A05">
            <w:pPr>
              <w:ind w:right="42"/>
              <w:jc w:val="center"/>
            </w:pPr>
            <w:r>
              <w:t>-3,8</w:t>
            </w:r>
          </w:p>
        </w:tc>
        <w:tc>
          <w:tcPr>
            <w:tcW w:w="964" w:type="dxa"/>
            <w:tcBorders>
              <w:top w:val="nil"/>
              <w:left w:val="double" w:sz="4" w:space="0" w:color="auto"/>
            </w:tcBorders>
            <w:vAlign w:val="center"/>
          </w:tcPr>
          <w:p w:rsidR="009B7C8B" w:rsidRPr="00261A05" w:rsidRDefault="009B7C8B" w:rsidP="00261A05">
            <w:pPr>
              <w:ind w:right="42"/>
              <w:jc w:val="center"/>
            </w:pPr>
            <w:r>
              <w:t>13,1</w:t>
            </w:r>
          </w:p>
        </w:tc>
        <w:tc>
          <w:tcPr>
            <w:tcW w:w="965" w:type="dxa"/>
            <w:tcBorders>
              <w:top w:val="nil"/>
            </w:tcBorders>
            <w:vAlign w:val="center"/>
          </w:tcPr>
          <w:p w:rsidR="009B7C8B" w:rsidRPr="00261A05" w:rsidRDefault="009B7C8B" w:rsidP="00261A05">
            <w:pPr>
              <w:ind w:right="42"/>
              <w:jc w:val="center"/>
            </w:pPr>
            <w:r>
              <w:t>-4,8</w:t>
            </w:r>
          </w:p>
        </w:tc>
      </w:tr>
    </w:tbl>
    <w:p w:rsidR="009B7C8B" w:rsidRDefault="009B7C8B" w:rsidP="009B33E7">
      <w:pPr>
        <w:ind w:left="-720" w:right="43" w:firstLine="360"/>
        <w:jc w:val="both"/>
        <w:rPr>
          <w:sz w:val="18"/>
          <w:szCs w:val="18"/>
        </w:rPr>
      </w:pPr>
      <w:r w:rsidRPr="008C6E50">
        <w:rPr>
          <w:sz w:val="18"/>
          <w:szCs w:val="18"/>
        </w:rPr>
        <w:t>Kaynak: TUIK, TCMB, IMKB, BETAM</w:t>
      </w:r>
      <w:r>
        <w:rPr>
          <w:sz w:val="18"/>
          <w:szCs w:val="18"/>
        </w:rPr>
        <w:t xml:space="preserve">. </w:t>
      </w:r>
    </w:p>
    <w:p w:rsidR="009B7C8B" w:rsidRDefault="009B7C8B" w:rsidP="009B33E7">
      <w:pPr>
        <w:ind w:left="-360" w:right="43"/>
        <w:rPr>
          <w:sz w:val="18"/>
          <w:szCs w:val="18"/>
        </w:rPr>
      </w:pPr>
      <w:r>
        <w:rPr>
          <w:sz w:val="18"/>
          <w:szCs w:val="18"/>
        </w:rPr>
        <w:t>* Betam hesaplamaları: Altın hariç ihracatı (ithalatı) bulmak için nominal ihracattan (ithalattan) parasal olmayan altın ihracatını (ithalatını) çıkarıp ihracat (ithalat) birim değer endeksine bölüyoruz.</w:t>
      </w:r>
    </w:p>
    <w:p w:rsidR="009B7C8B" w:rsidRDefault="009B7C8B" w:rsidP="008A0F64">
      <w:pPr>
        <w:spacing w:line="360" w:lineRule="auto"/>
        <w:ind w:right="42"/>
        <w:jc w:val="both"/>
        <w:rPr>
          <w:b/>
          <w:bCs/>
          <w:sz w:val="22"/>
          <w:szCs w:val="22"/>
        </w:rPr>
      </w:pPr>
    </w:p>
    <w:p w:rsidR="009B7C8B" w:rsidRDefault="009B7C8B" w:rsidP="008A0F64">
      <w:pPr>
        <w:spacing w:line="360" w:lineRule="auto"/>
        <w:ind w:right="42"/>
        <w:jc w:val="both"/>
        <w:rPr>
          <w:b/>
          <w:bCs/>
          <w:sz w:val="22"/>
          <w:szCs w:val="22"/>
        </w:rPr>
      </w:pPr>
    </w:p>
    <w:p w:rsidR="009B7C8B" w:rsidRDefault="009B7C8B" w:rsidP="008A0F64">
      <w:pPr>
        <w:spacing w:line="360" w:lineRule="auto"/>
        <w:ind w:right="42"/>
        <w:jc w:val="both"/>
        <w:rPr>
          <w:b/>
          <w:bCs/>
          <w:sz w:val="22"/>
          <w:szCs w:val="22"/>
        </w:rPr>
      </w:pPr>
    </w:p>
    <w:p w:rsidR="009B7C8B" w:rsidRDefault="009B7C8B" w:rsidP="008A0F64">
      <w:pPr>
        <w:spacing w:line="360" w:lineRule="auto"/>
        <w:ind w:right="42"/>
        <w:jc w:val="both"/>
        <w:rPr>
          <w:b/>
          <w:bCs/>
          <w:sz w:val="22"/>
          <w:szCs w:val="22"/>
        </w:rPr>
      </w:pPr>
    </w:p>
    <w:p w:rsidR="009B7C8B" w:rsidRDefault="009B7C8B" w:rsidP="008A0F64">
      <w:pPr>
        <w:spacing w:line="360" w:lineRule="auto"/>
        <w:ind w:right="42"/>
        <w:jc w:val="both"/>
        <w:rPr>
          <w:b/>
          <w:bCs/>
          <w:sz w:val="22"/>
          <w:szCs w:val="22"/>
        </w:rPr>
      </w:pPr>
    </w:p>
    <w:p w:rsidR="009B7C8B" w:rsidRDefault="009B7C8B" w:rsidP="0072768C">
      <w:pPr>
        <w:spacing w:line="360" w:lineRule="auto"/>
        <w:ind w:left="-360" w:right="42"/>
        <w:jc w:val="both"/>
        <w:rPr>
          <w:sz w:val="22"/>
          <w:szCs w:val="22"/>
        </w:rPr>
        <w:sectPr w:rsidR="009B7C8B" w:rsidSect="008651A8">
          <w:type w:val="continuous"/>
          <w:pgSz w:w="11906" w:h="16838"/>
          <w:pgMar w:top="1417" w:right="1417" w:bottom="1417" w:left="1417" w:header="708" w:footer="708" w:gutter="0"/>
          <w:cols w:space="708"/>
          <w:docGrid w:linePitch="360"/>
        </w:sectPr>
      </w:pPr>
    </w:p>
    <w:p w:rsidR="009B7C8B" w:rsidRDefault="009B7C8B" w:rsidP="004D3901">
      <w:pPr>
        <w:spacing w:line="360" w:lineRule="auto"/>
        <w:ind w:left="-360" w:right="42"/>
        <w:rPr>
          <w:sz w:val="18"/>
          <w:szCs w:val="18"/>
        </w:rPr>
      </w:pPr>
    </w:p>
    <w:p w:rsidR="009B7C8B" w:rsidRDefault="009B7C8B" w:rsidP="003001AF">
      <w:pPr>
        <w:spacing w:line="360" w:lineRule="auto"/>
        <w:ind w:right="42"/>
        <w:rPr>
          <w:sz w:val="18"/>
          <w:szCs w:val="18"/>
        </w:rPr>
      </w:pPr>
    </w:p>
    <w:p w:rsidR="009B7C8B" w:rsidRDefault="009B7C8B" w:rsidP="004259B8">
      <w:pPr>
        <w:ind w:left="-360" w:right="42"/>
        <w:jc w:val="both"/>
        <w:rPr>
          <w:b/>
          <w:bCs/>
          <w:sz w:val="22"/>
          <w:szCs w:val="22"/>
        </w:rPr>
      </w:pPr>
    </w:p>
    <w:p w:rsidR="009B7C8B" w:rsidRDefault="009B7C8B" w:rsidP="004259B8">
      <w:pPr>
        <w:ind w:left="-360" w:right="42"/>
        <w:jc w:val="both"/>
        <w:rPr>
          <w:b/>
          <w:bCs/>
          <w:sz w:val="22"/>
          <w:szCs w:val="22"/>
        </w:rPr>
      </w:pPr>
    </w:p>
    <w:p w:rsidR="009B7C8B" w:rsidRDefault="009B7C8B" w:rsidP="004259B8">
      <w:pPr>
        <w:ind w:left="-360" w:right="42"/>
        <w:jc w:val="both"/>
        <w:rPr>
          <w:b/>
          <w:bCs/>
          <w:sz w:val="22"/>
          <w:szCs w:val="22"/>
        </w:rPr>
      </w:pPr>
      <w:r w:rsidRPr="008C6E50">
        <w:rPr>
          <w:b/>
          <w:bCs/>
          <w:sz w:val="22"/>
          <w:szCs w:val="22"/>
        </w:rPr>
        <w:lastRenderedPageBreak/>
        <w:t xml:space="preserve">Şekil 1: Kapasite </w:t>
      </w:r>
      <w:r>
        <w:rPr>
          <w:b/>
          <w:bCs/>
          <w:sz w:val="22"/>
          <w:szCs w:val="22"/>
        </w:rPr>
        <w:t>k</w:t>
      </w:r>
      <w:r w:rsidRPr="008C6E50">
        <w:rPr>
          <w:b/>
          <w:bCs/>
          <w:sz w:val="22"/>
          <w:szCs w:val="22"/>
        </w:rPr>
        <w:t xml:space="preserve">ullanım </w:t>
      </w:r>
      <w:r>
        <w:rPr>
          <w:b/>
          <w:bCs/>
          <w:sz w:val="22"/>
          <w:szCs w:val="22"/>
        </w:rPr>
        <w:t>o</w:t>
      </w:r>
      <w:r w:rsidRPr="008C6E50">
        <w:rPr>
          <w:b/>
          <w:bCs/>
          <w:sz w:val="22"/>
          <w:szCs w:val="22"/>
        </w:rPr>
        <w:t xml:space="preserve">ranı ve </w:t>
      </w:r>
      <w:r>
        <w:rPr>
          <w:b/>
          <w:bCs/>
          <w:sz w:val="22"/>
          <w:szCs w:val="22"/>
        </w:rPr>
        <w:t>s</w:t>
      </w:r>
      <w:r w:rsidRPr="008C6E50">
        <w:rPr>
          <w:b/>
          <w:bCs/>
          <w:sz w:val="22"/>
          <w:szCs w:val="22"/>
        </w:rPr>
        <w:t xml:space="preserve">anayi </w:t>
      </w:r>
      <w:r>
        <w:rPr>
          <w:b/>
          <w:bCs/>
          <w:sz w:val="22"/>
          <w:szCs w:val="22"/>
        </w:rPr>
        <w:t>ü</w:t>
      </w:r>
      <w:r w:rsidRPr="008C6E50">
        <w:rPr>
          <w:b/>
          <w:bCs/>
          <w:sz w:val="22"/>
          <w:szCs w:val="22"/>
        </w:rPr>
        <w:t xml:space="preserve">retim </w:t>
      </w:r>
      <w:r>
        <w:rPr>
          <w:b/>
          <w:bCs/>
          <w:sz w:val="22"/>
          <w:szCs w:val="22"/>
        </w:rPr>
        <w:t>e</w:t>
      </w:r>
      <w:r w:rsidRPr="008C6E50">
        <w:rPr>
          <w:b/>
          <w:bCs/>
          <w:sz w:val="22"/>
          <w:szCs w:val="22"/>
        </w:rPr>
        <w:t>ndeksi (</w:t>
      </w:r>
      <w:r>
        <w:rPr>
          <w:b/>
          <w:bCs/>
          <w:sz w:val="22"/>
          <w:szCs w:val="22"/>
        </w:rPr>
        <w:t>mea</w:t>
      </w:r>
      <w:r w:rsidRPr="008C6E50">
        <w:rPr>
          <w:b/>
          <w:bCs/>
          <w:sz w:val="22"/>
          <w:szCs w:val="22"/>
        </w:rPr>
        <w:t>)</w:t>
      </w:r>
    </w:p>
    <w:p w:rsidR="009B7C8B" w:rsidRPr="007067F4" w:rsidRDefault="009B7C8B" w:rsidP="0072768C">
      <w:pPr>
        <w:ind w:left="-360" w:right="42"/>
        <w:jc w:val="both"/>
        <w:rPr>
          <w:b/>
          <w:bCs/>
          <w:sz w:val="8"/>
          <w:szCs w:val="8"/>
        </w:rPr>
      </w:pPr>
    </w:p>
    <w:p w:rsidR="009B7C8B" w:rsidRPr="00CE2137" w:rsidRDefault="002C405B" w:rsidP="00143024">
      <w:pPr>
        <w:ind w:left="-360" w:right="42"/>
        <w:jc w:val="both"/>
      </w:pPr>
      <w:r>
        <w:rPr>
          <w:noProof/>
          <w:lang w:val="en-US" w:eastAsia="en-US"/>
        </w:rPr>
        <w:drawing>
          <wp:inline distT="0" distB="0" distL="0" distR="0">
            <wp:extent cx="2638425" cy="22288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38425" cy="2228850"/>
                    </a:xfrm>
                    <a:prstGeom prst="rect">
                      <a:avLst/>
                    </a:prstGeom>
                    <a:noFill/>
                    <a:ln w="9525">
                      <a:noFill/>
                      <a:miter lim="800000"/>
                      <a:headEnd/>
                      <a:tailEnd/>
                    </a:ln>
                  </pic:spPr>
                </pic:pic>
              </a:graphicData>
            </a:graphic>
          </wp:inline>
        </w:drawing>
      </w:r>
    </w:p>
    <w:p w:rsidR="009B7C8B" w:rsidRDefault="009B7C8B" w:rsidP="00143024">
      <w:pPr>
        <w:ind w:left="-360" w:right="42"/>
        <w:jc w:val="both"/>
        <w:rPr>
          <w:sz w:val="18"/>
          <w:szCs w:val="18"/>
        </w:rPr>
      </w:pPr>
      <w:r>
        <w:rPr>
          <w:sz w:val="18"/>
          <w:szCs w:val="18"/>
        </w:rPr>
        <w:t xml:space="preserve">Kaynak : TÜİK </w:t>
      </w:r>
      <w:r w:rsidRPr="008C6E50">
        <w:rPr>
          <w:sz w:val="18"/>
          <w:szCs w:val="18"/>
        </w:rPr>
        <w:t xml:space="preserve">(sol taraf KKO ekseni, sağ taraf SÜE </w:t>
      </w:r>
      <w:r>
        <w:rPr>
          <w:sz w:val="18"/>
          <w:szCs w:val="18"/>
        </w:rPr>
        <w:t xml:space="preserve">  </w:t>
      </w:r>
    </w:p>
    <w:p w:rsidR="009B7C8B" w:rsidRPr="008C6E50" w:rsidRDefault="009B7C8B" w:rsidP="00143024">
      <w:pPr>
        <w:ind w:left="-360" w:right="42"/>
        <w:jc w:val="both"/>
        <w:rPr>
          <w:sz w:val="18"/>
          <w:szCs w:val="18"/>
        </w:rPr>
      </w:pPr>
      <w:r>
        <w:rPr>
          <w:sz w:val="18"/>
          <w:szCs w:val="18"/>
        </w:rPr>
        <w:t xml:space="preserve"> </w:t>
      </w:r>
      <w:r w:rsidRPr="008C6E50">
        <w:rPr>
          <w:sz w:val="18"/>
          <w:szCs w:val="18"/>
        </w:rPr>
        <w:t>ekseni)</w:t>
      </w:r>
      <w:r>
        <w:rPr>
          <w:sz w:val="18"/>
          <w:szCs w:val="18"/>
        </w:rPr>
        <w:t>.</w:t>
      </w:r>
    </w:p>
    <w:p w:rsidR="009B7C8B" w:rsidRDefault="009B7C8B" w:rsidP="0072768C">
      <w:pPr>
        <w:ind w:left="-360" w:right="42"/>
        <w:jc w:val="both"/>
        <w:rPr>
          <w:b/>
          <w:bCs/>
          <w:sz w:val="22"/>
          <w:szCs w:val="22"/>
        </w:rPr>
      </w:pPr>
    </w:p>
    <w:p w:rsidR="009B7C8B" w:rsidRDefault="009B7C8B" w:rsidP="000F2DB4">
      <w:pPr>
        <w:ind w:right="42"/>
        <w:jc w:val="both"/>
        <w:rPr>
          <w:b/>
          <w:bCs/>
          <w:sz w:val="22"/>
          <w:szCs w:val="22"/>
        </w:rPr>
      </w:pPr>
    </w:p>
    <w:p w:rsidR="009B7C8B" w:rsidRPr="00483C58" w:rsidRDefault="009B7C8B" w:rsidP="00483C58">
      <w:pPr>
        <w:ind w:left="-360" w:right="42"/>
        <w:jc w:val="both"/>
        <w:rPr>
          <w:b/>
          <w:bCs/>
          <w:sz w:val="22"/>
          <w:szCs w:val="22"/>
        </w:rPr>
      </w:pPr>
      <w:r w:rsidRPr="008C6E50">
        <w:rPr>
          <w:b/>
          <w:bCs/>
          <w:sz w:val="22"/>
          <w:szCs w:val="22"/>
        </w:rPr>
        <w:lastRenderedPageBreak/>
        <w:t>Şekil 2: İhracat ve ithalat miktar endeksleri (</w:t>
      </w:r>
      <w:r>
        <w:rPr>
          <w:b/>
          <w:bCs/>
          <w:sz w:val="22"/>
          <w:szCs w:val="22"/>
        </w:rPr>
        <w:t>mea</w:t>
      </w:r>
      <w:r w:rsidRPr="008C6E50">
        <w:rPr>
          <w:b/>
          <w:bCs/>
          <w:sz w:val="22"/>
          <w:szCs w:val="22"/>
        </w:rPr>
        <w:t>)</w:t>
      </w:r>
    </w:p>
    <w:p w:rsidR="009B7C8B" w:rsidRPr="007067F4" w:rsidRDefault="009B7C8B" w:rsidP="0072768C">
      <w:pPr>
        <w:spacing w:line="360" w:lineRule="auto"/>
        <w:ind w:left="-360" w:right="42"/>
        <w:jc w:val="both"/>
        <w:rPr>
          <w:sz w:val="4"/>
          <w:szCs w:val="4"/>
        </w:rPr>
      </w:pPr>
    </w:p>
    <w:p w:rsidR="009B7C8B" w:rsidRPr="00CE2137" w:rsidRDefault="002C405B" w:rsidP="00143024">
      <w:pPr>
        <w:ind w:left="-360" w:right="42"/>
        <w:jc w:val="both"/>
      </w:pPr>
      <w:r>
        <w:rPr>
          <w:noProof/>
          <w:lang w:val="en-US" w:eastAsia="en-US"/>
        </w:rPr>
        <w:drawing>
          <wp:inline distT="0" distB="0" distL="0" distR="0">
            <wp:extent cx="2657475" cy="23050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657475" cy="2305050"/>
                    </a:xfrm>
                    <a:prstGeom prst="rect">
                      <a:avLst/>
                    </a:prstGeom>
                    <a:noFill/>
                    <a:ln w="9525">
                      <a:noFill/>
                      <a:miter lim="800000"/>
                      <a:headEnd/>
                      <a:tailEnd/>
                    </a:ln>
                  </pic:spPr>
                </pic:pic>
              </a:graphicData>
            </a:graphic>
          </wp:inline>
        </w:drawing>
      </w:r>
    </w:p>
    <w:p w:rsidR="009B7C8B" w:rsidRPr="008C6E50" w:rsidRDefault="009B7C8B" w:rsidP="00143024">
      <w:pPr>
        <w:ind w:left="-360" w:right="42"/>
        <w:jc w:val="both"/>
        <w:rPr>
          <w:sz w:val="18"/>
          <w:szCs w:val="18"/>
        </w:rPr>
      </w:pPr>
      <w:r>
        <w:rPr>
          <w:sz w:val="18"/>
          <w:szCs w:val="18"/>
        </w:rPr>
        <w:t>Kaynak : TÜİK.</w:t>
      </w:r>
    </w:p>
    <w:p w:rsidR="009B7C8B" w:rsidRDefault="009B7C8B" w:rsidP="000F2DB4">
      <w:pPr>
        <w:spacing w:line="360" w:lineRule="auto"/>
        <w:ind w:right="42"/>
        <w:jc w:val="both"/>
        <w:rPr>
          <w:sz w:val="22"/>
          <w:szCs w:val="22"/>
        </w:rPr>
        <w:sectPr w:rsidR="009B7C8B" w:rsidSect="007067F4">
          <w:type w:val="continuous"/>
          <w:pgSz w:w="11906" w:h="16838"/>
          <w:pgMar w:top="1417" w:right="1417" w:bottom="1417" w:left="1417" w:header="708" w:footer="708" w:gutter="0"/>
          <w:cols w:num="2" w:space="708" w:equalWidth="0">
            <w:col w:w="4182" w:space="708"/>
            <w:col w:w="4182"/>
          </w:cols>
          <w:docGrid w:linePitch="360"/>
        </w:sectPr>
      </w:pPr>
    </w:p>
    <w:p w:rsidR="009B7C8B" w:rsidRPr="007067F4" w:rsidRDefault="009B7C8B" w:rsidP="00B25C94">
      <w:pPr>
        <w:spacing w:line="360" w:lineRule="auto"/>
        <w:ind w:left="-360" w:right="42"/>
        <w:jc w:val="both"/>
        <w:rPr>
          <w:b/>
          <w:bCs/>
          <w:sz w:val="22"/>
          <w:szCs w:val="22"/>
        </w:rPr>
      </w:pPr>
      <w:r>
        <w:rPr>
          <w:b/>
          <w:bCs/>
          <w:sz w:val="22"/>
          <w:szCs w:val="22"/>
        </w:rPr>
        <w:lastRenderedPageBreak/>
        <w:t>Şekil 3: C</w:t>
      </w:r>
      <w:r w:rsidRPr="007067F4">
        <w:rPr>
          <w:b/>
          <w:bCs/>
          <w:sz w:val="22"/>
          <w:szCs w:val="22"/>
        </w:rPr>
        <w:t xml:space="preserve">ari </w:t>
      </w:r>
      <w:r>
        <w:rPr>
          <w:b/>
          <w:bCs/>
          <w:sz w:val="22"/>
          <w:szCs w:val="22"/>
        </w:rPr>
        <w:t xml:space="preserve">açığın GSYH’a oranı                           </w:t>
      </w:r>
    </w:p>
    <w:p w:rsidR="009B7C8B" w:rsidRPr="000144EB" w:rsidRDefault="002C405B" w:rsidP="000144EB">
      <w:pPr>
        <w:ind w:left="-360" w:right="42"/>
      </w:pPr>
      <w:r>
        <w:rPr>
          <w:noProof/>
          <w:lang w:val="en-US" w:eastAsia="en-US"/>
        </w:rPr>
        <w:drawing>
          <wp:inline distT="0" distB="0" distL="0" distR="0">
            <wp:extent cx="5715000" cy="29718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715000" cy="2971800"/>
                    </a:xfrm>
                    <a:prstGeom prst="rect">
                      <a:avLst/>
                    </a:prstGeom>
                    <a:noFill/>
                    <a:ln w="9525">
                      <a:noFill/>
                      <a:miter lim="800000"/>
                      <a:headEnd/>
                      <a:tailEnd/>
                    </a:ln>
                  </pic:spPr>
                </pic:pic>
              </a:graphicData>
            </a:graphic>
          </wp:inline>
        </w:drawing>
      </w:r>
    </w:p>
    <w:p w:rsidR="009B7C8B" w:rsidRPr="00143024" w:rsidRDefault="009B7C8B" w:rsidP="000144EB">
      <w:pPr>
        <w:ind w:left="-360" w:right="42"/>
      </w:pPr>
      <w:r>
        <w:rPr>
          <w:sz w:val="18"/>
          <w:szCs w:val="18"/>
        </w:rPr>
        <w:t xml:space="preserve">Kaynak: TCMB, TUIK, Betam. </w:t>
      </w:r>
      <w:r>
        <w:rPr>
          <w:sz w:val="18"/>
          <w:szCs w:val="18"/>
        </w:rPr>
        <w:tab/>
      </w:r>
      <w:r>
        <w:rPr>
          <w:sz w:val="18"/>
          <w:szCs w:val="18"/>
        </w:rPr>
        <w:tab/>
      </w:r>
      <w:r>
        <w:rPr>
          <w:sz w:val="18"/>
          <w:szCs w:val="18"/>
        </w:rPr>
        <w:tab/>
      </w:r>
      <w:r>
        <w:rPr>
          <w:sz w:val="18"/>
          <w:szCs w:val="18"/>
        </w:rPr>
        <w:tab/>
      </w:r>
    </w:p>
    <w:p w:rsidR="009B7C8B" w:rsidRDefault="009B7C8B" w:rsidP="00143024">
      <w:pPr>
        <w:ind w:left="-360" w:right="42"/>
      </w:pPr>
    </w:p>
    <w:p w:rsidR="009B7C8B" w:rsidRDefault="009B7C8B" w:rsidP="003578FF">
      <w:pPr>
        <w:spacing w:line="360" w:lineRule="auto"/>
        <w:ind w:left="-360" w:right="42"/>
        <w:jc w:val="both"/>
        <w:rPr>
          <w:b/>
          <w:bCs/>
          <w:sz w:val="22"/>
          <w:szCs w:val="22"/>
        </w:rPr>
      </w:pPr>
    </w:p>
    <w:p w:rsidR="009B7C8B" w:rsidRDefault="009B7C8B" w:rsidP="003578FF">
      <w:pPr>
        <w:spacing w:line="360" w:lineRule="auto"/>
        <w:ind w:left="-360" w:right="42"/>
        <w:jc w:val="both"/>
        <w:rPr>
          <w:b/>
          <w:bCs/>
          <w:sz w:val="22"/>
          <w:szCs w:val="22"/>
        </w:rPr>
      </w:pPr>
    </w:p>
    <w:p w:rsidR="009B7C8B" w:rsidRDefault="009B7C8B" w:rsidP="003578FF">
      <w:pPr>
        <w:spacing w:line="360" w:lineRule="auto"/>
        <w:ind w:left="-360" w:right="42"/>
        <w:jc w:val="both"/>
        <w:rPr>
          <w:b/>
          <w:bCs/>
          <w:sz w:val="22"/>
          <w:szCs w:val="22"/>
        </w:rPr>
      </w:pPr>
    </w:p>
    <w:p w:rsidR="009B7C8B" w:rsidRDefault="009B7C8B" w:rsidP="003578FF">
      <w:pPr>
        <w:spacing w:line="360" w:lineRule="auto"/>
        <w:ind w:left="-360" w:right="42"/>
        <w:jc w:val="both"/>
        <w:rPr>
          <w:b/>
          <w:bCs/>
          <w:sz w:val="22"/>
          <w:szCs w:val="22"/>
        </w:rPr>
      </w:pPr>
    </w:p>
    <w:p w:rsidR="009B7C8B" w:rsidRDefault="009B7C8B" w:rsidP="003578FF">
      <w:pPr>
        <w:spacing w:line="360" w:lineRule="auto"/>
        <w:ind w:left="-360" w:right="42"/>
        <w:jc w:val="both"/>
        <w:rPr>
          <w:b/>
          <w:bCs/>
          <w:sz w:val="22"/>
          <w:szCs w:val="22"/>
        </w:rPr>
      </w:pPr>
    </w:p>
    <w:p w:rsidR="009B7C8B" w:rsidRDefault="009B7C8B" w:rsidP="003578FF">
      <w:pPr>
        <w:spacing w:line="360" w:lineRule="auto"/>
        <w:ind w:left="-360" w:right="42"/>
        <w:jc w:val="both"/>
        <w:rPr>
          <w:b/>
          <w:bCs/>
          <w:sz w:val="22"/>
          <w:szCs w:val="22"/>
        </w:rPr>
      </w:pPr>
    </w:p>
    <w:p w:rsidR="009B7C8B" w:rsidRDefault="009B7C8B" w:rsidP="003578FF">
      <w:pPr>
        <w:spacing w:line="360" w:lineRule="auto"/>
        <w:ind w:left="-360" w:right="42"/>
        <w:jc w:val="both"/>
        <w:rPr>
          <w:b/>
          <w:bCs/>
          <w:sz w:val="22"/>
          <w:szCs w:val="22"/>
        </w:rPr>
      </w:pPr>
    </w:p>
    <w:p w:rsidR="009B7C8B" w:rsidRDefault="009B7C8B" w:rsidP="00226D50">
      <w:pPr>
        <w:spacing w:line="360" w:lineRule="auto"/>
        <w:ind w:right="42"/>
        <w:jc w:val="both"/>
        <w:rPr>
          <w:b/>
          <w:bCs/>
          <w:sz w:val="22"/>
          <w:szCs w:val="22"/>
        </w:rPr>
      </w:pPr>
    </w:p>
    <w:p w:rsidR="009B7C8B" w:rsidRDefault="009B7C8B" w:rsidP="003578FF">
      <w:pPr>
        <w:spacing w:line="360" w:lineRule="auto"/>
        <w:ind w:left="-360" w:right="42"/>
        <w:jc w:val="both"/>
        <w:rPr>
          <w:b/>
          <w:bCs/>
          <w:sz w:val="22"/>
          <w:szCs w:val="22"/>
        </w:rPr>
      </w:pPr>
    </w:p>
    <w:p w:rsidR="009B7C8B" w:rsidRPr="00EC248D" w:rsidRDefault="009B7C8B" w:rsidP="003578FF">
      <w:pPr>
        <w:spacing w:line="360" w:lineRule="auto"/>
        <w:ind w:left="-360" w:right="42"/>
        <w:jc w:val="both"/>
        <w:rPr>
          <w:b/>
          <w:bCs/>
          <w:sz w:val="22"/>
          <w:szCs w:val="22"/>
        </w:rPr>
      </w:pPr>
      <w:r>
        <w:rPr>
          <w:b/>
          <w:bCs/>
          <w:sz w:val="22"/>
          <w:szCs w:val="22"/>
        </w:rPr>
        <w:lastRenderedPageBreak/>
        <w:t>Şekil 4:</w:t>
      </w:r>
      <w:r w:rsidRPr="00EC248D">
        <w:rPr>
          <w:b/>
          <w:bCs/>
          <w:sz w:val="22"/>
          <w:szCs w:val="22"/>
        </w:rPr>
        <w:t xml:space="preserve"> </w:t>
      </w:r>
      <w:r>
        <w:rPr>
          <w:b/>
          <w:bCs/>
          <w:sz w:val="22"/>
          <w:szCs w:val="22"/>
        </w:rPr>
        <w:t>B</w:t>
      </w:r>
      <w:r w:rsidRPr="00EC248D">
        <w:rPr>
          <w:b/>
          <w:bCs/>
          <w:sz w:val="22"/>
          <w:szCs w:val="22"/>
        </w:rPr>
        <w:t>ankalarca TL üzerinden açılan kredilere uygulanan ort</w:t>
      </w:r>
      <w:r>
        <w:rPr>
          <w:b/>
          <w:bCs/>
          <w:sz w:val="22"/>
          <w:szCs w:val="22"/>
        </w:rPr>
        <w:t>a</w:t>
      </w:r>
      <w:r w:rsidRPr="00EC248D">
        <w:rPr>
          <w:b/>
          <w:bCs/>
          <w:sz w:val="22"/>
          <w:szCs w:val="22"/>
        </w:rPr>
        <w:t>lama faiz oranları</w:t>
      </w:r>
    </w:p>
    <w:p w:rsidR="009B7C8B" w:rsidRDefault="002C405B" w:rsidP="00366A30">
      <w:pPr>
        <w:ind w:left="-360" w:right="42"/>
        <w:rPr>
          <w:noProof/>
          <w:sz w:val="20"/>
          <w:szCs w:val="20"/>
        </w:rPr>
      </w:pPr>
      <w:r>
        <w:rPr>
          <w:noProof/>
          <w:lang w:val="en-US" w:eastAsia="en-US"/>
        </w:rPr>
        <w:drawing>
          <wp:inline distT="0" distB="0" distL="0" distR="0">
            <wp:extent cx="5753100" cy="293370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753100" cy="2933700"/>
                    </a:xfrm>
                    <a:prstGeom prst="rect">
                      <a:avLst/>
                    </a:prstGeom>
                    <a:noFill/>
                    <a:ln w="9525">
                      <a:noFill/>
                      <a:miter lim="800000"/>
                      <a:headEnd/>
                      <a:tailEnd/>
                    </a:ln>
                  </pic:spPr>
                </pic:pic>
              </a:graphicData>
            </a:graphic>
          </wp:inline>
        </w:drawing>
      </w:r>
    </w:p>
    <w:p w:rsidR="009B7C8B" w:rsidRDefault="009B7C8B" w:rsidP="00366A30">
      <w:pPr>
        <w:ind w:left="-360" w:right="42"/>
        <w:rPr>
          <w:sz w:val="18"/>
          <w:szCs w:val="18"/>
        </w:rPr>
      </w:pPr>
      <w:r w:rsidRPr="00CC41EB">
        <w:rPr>
          <w:sz w:val="18"/>
          <w:szCs w:val="18"/>
        </w:rPr>
        <w:t xml:space="preserve">Kaynak : </w:t>
      </w:r>
      <w:r>
        <w:rPr>
          <w:sz w:val="18"/>
          <w:szCs w:val="18"/>
        </w:rPr>
        <w:t>TCMB.</w:t>
      </w:r>
    </w:p>
    <w:p w:rsidR="009B7C8B" w:rsidRDefault="009B7C8B" w:rsidP="00366A30">
      <w:pPr>
        <w:ind w:left="-360" w:right="42"/>
        <w:rPr>
          <w:sz w:val="18"/>
          <w:szCs w:val="18"/>
        </w:rPr>
      </w:pPr>
    </w:p>
    <w:p w:rsidR="009B7C8B" w:rsidRDefault="009B7C8B" w:rsidP="00226D50">
      <w:pPr>
        <w:spacing w:line="276" w:lineRule="auto"/>
        <w:ind w:left="-360" w:right="42"/>
        <w:jc w:val="both"/>
        <w:rPr>
          <w:b/>
          <w:bCs/>
          <w:sz w:val="22"/>
          <w:szCs w:val="22"/>
        </w:rPr>
      </w:pPr>
    </w:p>
    <w:p w:rsidR="009B7C8B" w:rsidRPr="00C22309" w:rsidRDefault="009B7C8B" w:rsidP="00226D50">
      <w:pPr>
        <w:spacing w:line="276" w:lineRule="auto"/>
        <w:ind w:left="-360" w:right="42"/>
        <w:jc w:val="both"/>
        <w:rPr>
          <w:b/>
          <w:bCs/>
          <w:sz w:val="22"/>
          <w:szCs w:val="22"/>
        </w:rPr>
      </w:pPr>
      <w:r>
        <w:rPr>
          <w:b/>
          <w:bCs/>
          <w:sz w:val="22"/>
          <w:szCs w:val="22"/>
        </w:rPr>
        <w:t>Şekil 5:</w:t>
      </w:r>
      <w:r w:rsidRPr="00EC248D">
        <w:rPr>
          <w:b/>
          <w:bCs/>
          <w:sz w:val="22"/>
          <w:szCs w:val="22"/>
        </w:rPr>
        <w:t xml:space="preserve"> </w:t>
      </w:r>
      <w:r>
        <w:rPr>
          <w:b/>
          <w:bCs/>
          <w:sz w:val="22"/>
          <w:szCs w:val="22"/>
        </w:rPr>
        <w:t>2012 ve 2013 yıllarında SÜE’nin bir önceki yılın aynı ayına göre artış oranları (takvim etkisinden arındırılmış)</w:t>
      </w:r>
    </w:p>
    <w:p w:rsidR="009B7C8B" w:rsidRDefault="002C405B" w:rsidP="00C22309">
      <w:pPr>
        <w:ind w:left="-360" w:right="42"/>
        <w:jc w:val="both"/>
        <w:rPr>
          <w:sz w:val="18"/>
          <w:szCs w:val="18"/>
        </w:rPr>
      </w:pPr>
      <w:r>
        <w:rPr>
          <w:noProof/>
          <w:lang w:val="en-US" w:eastAsia="en-US"/>
        </w:rPr>
        <w:drawing>
          <wp:inline distT="0" distB="0" distL="0" distR="0">
            <wp:extent cx="5715000" cy="278130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715000" cy="2781300"/>
                    </a:xfrm>
                    <a:prstGeom prst="rect">
                      <a:avLst/>
                    </a:prstGeom>
                    <a:noFill/>
                    <a:ln w="9525">
                      <a:noFill/>
                      <a:miter lim="800000"/>
                      <a:headEnd/>
                      <a:tailEnd/>
                    </a:ln>
                  </pic:spPr>
                </pic:pic>
              </a:graphicData>
            </a:graphic>
          </wp:inline>
        </w:drawing>
      </w:r>
    </w:p>
    <w:p w:rsidR="009B7C8B" w:rsidRDefault="009B7C8B" w:rsidP="003578FF">
      <w:pPr>
        <w:ind w:left="-360" w:right="42"/>
        <w:jc w:val="both"/>
        <w:rPr>
          <w:sz w:val="18"/>
          <w:szCs w:val="18"/>
        </w:rPr>
      </w:pPr>
      <w:r>
        <w:rPr>
          <w:sz w:val="18"/>
          <w:szCs w:val="18"/>
        </w:rPr>
        <w:t>Kaynak: TÜİK.</w:t>
      </w:r>
    </w:p>
    <w:p w:rsidR="009B7C8B" w:rsidRDefault="009B7C8B" w:rsidP="003578FF">
      <w:pPr>
        <w:ind w:left="-360" w:right="42"/>
        <w:jc w:val="both"/>
        <w:rPr>
          <w:sz w:val="18"/>
          <w:szCs w:val="18"/>
        </w:rPr>
      </w:pPr>
    </w:p>
    <w:p w:rsidR="009B7C8B" w:rsidRDefault="009B7C8B" w:rsidP="003578FF">
      <w:pPr>
        <w:ind w:left="-360" w:right="42"/>
        <w:jc w:val="both"/>
        <w:rPr>
          <w:sz w:val="18"/>
          <w:szCs w:val="18"/>
        </w:rPr>
      </w:pPr>
    </w:p>
    <w:p w:rsidR="009B7C8B" w:rsidRDefault="009B7C8B" w:rsidP="003578FF">
      <w:pPr>
        <w:ind w:left="-360" w:right="42"/>
        <w:jc w:val="both"/>
        <w:rPr>
          <w:sz w:val="18"/>
          <w:szCs w:val="18"/>
        </w:rPr>
      </w:pPr>
    </w:p>
    <w:p w:rsidR="009B7C8B" w:rsidRDefault="009B7C8B" w:rsidP="003578FF">
      <w:pPr>
        <w:ind w:left="-360" w:right="42"/>
        <w:jc w:val="both"/>
        <w:rPr>
          <w:sz w:val="18"/>
          <w:szCs w:val="18"/>
        </w:rPr>
      </w:pPr>
    </w:p>
    <w:p w:rsidR="009B7C8B" w:rsidRDefault="009B7C8B" w:rsidP="003578FF">
      <w:pPr>
        <w:ind w:left="-360" w:right="42"/>
        <w:jc w:val="both"/>
        <w:rPr>
          <w:sz w:val="18"/>
          <w:szCs w:val="18"/>
        </w:rPr>
      </w:pPr>
    </w:p>
    <w:p w:rsidR="009B7C8B" w:rsidRDefault="009B7C8B" w:rsidP="003578FF">
      <w:pPr>
        <w:ind w:left="-360" w:right="42"/>
        <w:jc w:val="both"/>
        <w:rPr>
          <w:sz w:val="18"/>
          <w:szCs w:val="18"/>
        </w:rPr>
      </w:pPr>
    </w:p>
    <w:p w:rsidR="009B7C8B" w:rsidRDefault="009B7C8B" w:rsidP="003578FF">
      <w:pPr>
        <w:ind w:left="-360" w:right="42"/>
        <w:jc w:val="both"/>
        <w:rPr>
          <w:sz w:val="18"/>
          <w:szCs w:val="18"/>
        </w:rPr>
      </w:pPr>
    </w:p>
    <w:p w:rsidR="009B7C8B" w:rsidRDefault="009B7C8B" w:rsidP="003578FF">
      <w:pPr>
        <w:ind w:left="-360" w:right="42"/>
        <w:jc w:val="both"/>
        <w:rPr>
          <w:sz w:val="18"/>
          <w:szCs w:val="18"/>
        </w:rPr>
      </w:pPr>
    </w:p>
    <w:p w:rsidR="009B7C8B" w:rsidRDefault="009B7C8B" w:rsidP="003578FF">
      <w:pPr>
        <w:ind w:left="-360" w:right="42"/>
        <w:jc w:val="both"/>
        <w:rPr>
          <w:sz w:val="18"/>
          <w:szCs w:val="18"/>
        </w:rPr>
      </w:pPr>
    </w:p>
    <w:p w:rsidR="009B7C8B" w:rsidRDefault="009B7C8B" w:rsidP="003578FF">
      <w:pPr>
        <w:ind w:left="-360" w:right="42"/>
        <w:jc w:val="both"/>
        <w:rPr>
          <w:sz w:val="18"/>
          <w:szCs w:val="18"/>
        </w:rPr>
      </w:pPr>
    </w:p>
    <w:p w:rsidR="009B7C8B" w:rsidRDefault="009B7C8B" w:rsidP="003578FF">
      <w:pPr>
        <w:ind w:left="-360" w:right="42"/>
        <w:jc w:val="both"/>
        <w:rPr>
          <w:sz w:val="18"/>
          <w:szCs w:val="18"/>
        </w:rPr>
      </w:pPr>
    </w:p>
    <w:p w:rsidR="009B7C8B" w:rsidRDefault="009B7C8B" w:rsidP="003578FF">
      <w:pPr>
        <w:ind w:left="-360" w:right="42"/>
        <w:jc w:val="both"/>
        <w:rPr>
          <w:sz w:val="18"/>
          <w:szCs w:val="18"/>
        </w:rPr>
      </w:pPr>
    </w:p>
    <w:p w:rsidR="009B7C8B" w:rsidRDefault="009B7C8B" w:rsidP="003578FF">
      <w:pPr>
        <w:ind w:left="-360" w:right="42"/>
        <w:jc w:val="both"/>
        <w:rPr>
          <w:sz w:val="18"/>
          <w:szCs w:val="18"/>
        </w:rPr>
      </w:pPr>
    </w:p>
    <w:p w:rsidR="009B7C8B" w:rsidRPr="00CC41EB" w:rsidRDefault="009B7C8B" w:rsidP="0072768C">
      <w:pPr>
        <w:spacing w:line="360" w:lineRule="auto"/>
        <w:ind w:right="42"/>
        <w:jc w:val="both"/>
        <w:rPr>
          <w:sz w:val="18"/>
          <w:szCs w:val="18"/>
        </w:rPr>
      </w:pPr>
    </w:p>
    <w:sectPr w:rsidR="009B7C8B" w:rsidRPr="00CC41EB" w:rsidSect="000144EB">
      <w:type w:val="continuous"/>
      <w:pgSz w:w="11906" w:h="16838"/>
      <w:pgMar w:top="1417" w:right="1417" w:bottom="90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898" w:rsidRDefault="00AC7898">
      <w:r>
        <w:separator/>
      </w:r>
    </w:p>
  </w:endnote>
  <w:endnote w:type="continuationSeparator" w:id="1">
    <w:p w:rsidR="00AC7898" w:rsidRDefault="00AC78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8B" w:rsidRDefault="00F018CE" w:rsidP="00D830C4">
    <w:pPr>
      <w:pStyle w:val="Footer"/>
      <w:framePr w:wrap="auto" w:vAnchor="text" w:hAnchor="margin" w:xAlign="right" w:y="1"/>
      <w:rPr>
        <w:rStyle w:val="PageNumber"/>
      </w:rPr>
    </w:pPr>
    <w:r>
      <w:rPr>
        <w:rStyle w:val="PageNumber"/>
      </w:rPr>
      <w:fldChar w:fldCharType="begin"/>
    </w:r>
    <w:r w:rsidR="009B7C8B">
      <w:rPr>
        <w:rStyle w:val="PageNumber"/>
      </w:rPr>
      <w:instrText xml:space="preserve">PAGE  </w:instrText>
    </w:r>
    <w:r>
      <w:rPr>
        <w:rStyle w:val="PageNumber"/>
      </w:rPr>
      <w:fldChar w:fldCharType="separate"/>
    </w:r>
    <w:r w:rsidR="002C405B">
      <w:rPr>
        <w:rStyle w:val="PageNumber"/>
        <w:noProof/>
      </w:rPr>
      <w:t>1</w:t>
    </w:r>
    <w:r>
      <w:rPr>
        <w:rStyle w:val="PageNumber"/>
      </w:rPr>
      <w:fldChar w:fldCharType="end"/>
    </w:r>
  </w:p>
  <w:p w:rsidR="009B7C8B" w:rsidRPr="007B51E3" w:rsidRDefault="009B7C8B" w:rsidP="007B51E3">
    <w:pPr>
      <w:pStyle w:val="Footer"/>
      <w:ind w:right="360"/>
      <w:jc w:val="center"/>
      <w:rPr>
        <w:b/>
        <w:bCs/>
        <w:i/>
        <w:iCs/>
      </w:rPr>
    </w:pPr>
    <w:r w:rsidRPr="007B51E3">
      <w:rPr>
        <w:b/>
        <w:bCs/>
        <w:i/>
        <w:iCs/>
      </w:rPr>
      <w:t>www.betam.bahcesehir.edu.tr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898" w:rsidRDefault="00AC7898">
      <w:r>
        <w:separator/>
      </w:r>
    </w:p>
  </w:footnote>
  <w:footnote w:type="continuationSeparator" w:id="1">
    <w:p w:rsidR="00AC7898" w:rsidRDefault="00AC7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357ECC"/>
    <w:rsid w:val="0000014A"/>
    <w:rsid w:val="000015B4"/>
    <w:rsid w:val="00004860"/>
    <w:rsid w:val="00004B78"/>
    <w:rsid w:val="0000704D"/>
    <w:rsid w:val="0001121A"/>
    <w:rsid w:val="000117B7"/>
    <w:rsid w:val="000144EB"/>
    <w:rsid w:val="00017809"/>
    <w:rsid w:val="000205A1"/>
    <w:rsid w:val="000212AC"/>
    <w:rsid w:val="000224B9"/>
    <w:rsid w:val="000233A7"/>
    <w:rsid w:val="00024559"/>
    <w:rsid w:val="000262EC"/>
    <w:rsid w:val="00026F21"/>
    <w:rsid w:val="00033700"/>
    <w:rsid w:val="00034090"/>
    <w:rsid w:val="0003546D"/>
    <w:rsid w:val="000449FC"/>
    <w:rsid w:val="00045C5A"/>
    <w:rsid w:val="00047B99"/>
    <w:rsid w:val="00047E9F"/>
    <w:rsid w:val="0005037D"/>
    <w:rsid w:val="00050453"/>
    <w:rsid w:val="00052AD4"/>
    <w:rsid w:val="00052D7A"/>
    <w:rsid w:val="00054BD3"/>
    <w:rsid w:val="00056118"/>
    <w:rsid w:val="00056B3E"/>
    <w:rsid w:val="00060119"/>
    <w:rsid w:val="00061256"/>
    <w:rsid w:val="00061732"/>
    <w:rsid w:val="00064636"/>
    <w:rsid w:val="0006518B"/>
    <w:rsid w:val="00065B3C"/>
    <w:rsid w:val="000716BA"/>
    <w:rsid w:val="000716CA"/>
    <w:rsid w:val="00074648"/>
    <w:rsid w:val="00077A9D"/>
    <w:rsid w:val="00077FF4"/>
    <w:rsid w:val="00082FE4"/>
    <w:rsid w:val="000833C7"/>
    <w:rsid w:val="000925B3"/>
    <w:rsid w:val="00097E2B"/>
    <w:rsid w:val="000A292B"/>
    <w:rsid w:val="000A399E"/>
    <w:rsid w:val="000A687F"/>
    <w:rsid w:val="000A6907"/>
    <w:rsid w:val="000A701D"/>
    <w:rsid w:val="000A79A0"/>
    <w:rsid w:val="000B16FB"/>
    <w:rsid w:val="000B2BF9"/>
    <w:rsid w:val="000B2E92"/>
    <w:rsid w:val="000B325E"/>
    <w:rsid w:val="000B3995"/>
    <w:rsid w:val="000B41F3"/>
    <w:rsid w:val="000B50AD"/>
    <w:rsid w:val="000B50DE"/>
    <w:rsid w:val="000B6120"/>
    <w:rsid w:val="000B6127"/>
    <w:rsid w:val="000B7E94"/>
    <w:rsid w:val="000C5B7E"/>
    <w:rsid w:val="000C7B42"/>
    <w:rsid w:val="000D0C5A"/>
    <w:rsid w:val="000D17A2"/>
    <w:rsid w:val="000D1F14"/>
    <w:rsid w:val="000D56EB"/>
    <w:rsid w:val="000D5927"/>
    <w:rsid w:val="000E10A3"/>
    <w:rsid w:val="000E1F75"/>
    <w:rsid w:val="000E4E83"/>
    <w:rsid w:val="000E5365"/>
    <w:rsid w:val="000E631E"/>
    <w:rsid w:val="000E6807"/>
    <w:rsid w:val="000E74B5"/>
    <w:rsid w:val="000E7CBB"/>
    <w:rsid w:val="000F0C2B"/>
    <w:rsid w:val="000F2DB4"/>
    <w:rsid w:val="000F360E"/>
    <w:rsid w:val="000F396D"/>
    <w:rsid w:val="000F4941"/>
    <w:rsid w:val="000F5457"/>
    <w:rsid w:val="001075D1"/>
    <w:rsid w:val="001105B2"/>
    <w:rsid w:val="001117C6"/>
    <w:rsid w:val="0011236C"/>
    <w:rsid w:val="0011279B"/>
    <w:rsid w:val="00114BC7"/>
    <w:rsid w:val="00121ABE"/>
    <w:rsid w:val="0012262F"/>
    <w:rsid w:val="00125FC6"/>
    <w:rsid w:val="001260D7"/>
    <w:rsid w:val="001267DF"/>
    <w:rsid w:val="00130959"/>
    <w:rsid w:val="0013240F"/>
    <w:rsid w:val="00132E7B"/>
    <w:rsid w:val="001331CB"/>
    <w:rsid w:val="0013381D"/>
    <w:rsid w:val="001360D1"/>
    <w:rsid w:val="00141B88"/>
    <w:rsid w:val="00141B93"/>
    <w:rsid w:val="00143024"/>
    <w:rsid w:val="00143828"/>
    <w:rsid w:val="001509BC"/>
    <w:rsid w:val="00151BCF"/>
    <w:rsid w:val="001553F2"/>
    <w:rsid w:val="0015586B"/>
    <w:rsid w:val="0015676E"/>
    <w:rsid w:val="00156914"/>
    <w:rsid w:val="00157DC2"/>
    <w:rsid w:val="001609FA"/>
    <w:rsid w:val="00161689"/>
    <w:rsid w:val="00162629"/>
    <w:rsid w:val="001632B0"/>
    <w:rsid w:val="0016401E"/>
    <w:rsid w:val="001653F9"/>
    <w:rsid w:val="00165552"/>
    <w:rsid w:val="00165C4C"/>
    <w:rsid w:val="00165C59"/>
    <w:rsid w:val="00165CB0"/>
    <w:rsid w:val="00166FE5"/>
    <w:rsid w:val="00167D69"/>
    <w:rsid w:val="00170502"/>
    <w:rsid w:val="00170CA9"/>
    <w:rsid w:val="00171424"/>
    <w:rsid w:val="00172263"/>
    <w:rsid w:val="00177FE3"/>
    <w:rsid w:val="0018034E"/>
    <w:rsid w:val="00181B5A"/>
    <w:rsid w:val="00182F2B"/>
    <w:rsid w:val="00183507"/>
    <w:rsid w:val="00183896"/>
    <w:rsid w:val="00186DB6"/>
    <w:rsid w:val="001938A7"/>
    <w:rsid w:val="0019538C"/>
    <w:rsid w:val="00197ACB"/>
    <w:rsid w:val="001A054B"/>
    <w:rsid w:val="001A2051"/>
    <w:rsid w:val="001A2B3D"/>
    <w:rsid w:val="001A45BC"/>
    <w:rsid w:val="001A528A"/>
    <w:rsid w:val="001A6206"/>
    <w:rsid w:val="001A772F"/>
    <w:rsid w:val="001B0683"/>
    <w:rsid w:val="001B2F96"/>
    <w:rsid w:val="001B30E0"/>
    <w:rsid w:val="001B34B5"/>
    <w:rsid w:val="001B3B49"/>
    <w:rsid w:val="001B3C7B"/>
    <w:rsid w:val="001B6AFA"/>
    <w:rsid w:val="001C184E"/>
    <w:rsid w:val="001C62D3"/>
    <w:rsid w:val="001C7334"/>
    <w:rsid w:val="001D09B1"/>
    <w:rsid w:val="001D129A"/>
    <w:rsid w:val="001D1F1B"/>
    <w:rsid w:val="001D436C"/>
    <w:rsid w:val="001E0274"/>
    <w:rsid w:val="001E27F8"/>
    <w:rsid w:val="001E30C3"/>
    <w:rsid w:val="001E4BF5"/>
    <w:rsid w:val="001E739D"/>
    <w:rsid w:val="001E7720"/>
    <w:rsid w:val="001F2761"/>
    <w:rsid w:val="001F4CFB"/>
    <w:rsid w:val="001F6F00"/>
    <w:rsid w:val="001F7144"/>
    <w:rsid w:val="001F71A5"/>
    <w:rsid w:val="001F7216"/>
    <w:rsid w:val="001F775A"/>
    <w:rsid w:val="0020167B"/>
    <w:rsid w:val="00204364"/>
    <w:rsid w:val="00206291"/>
    <w:rsid w:val="00207185"/>
    <w:rsid w:val="0020739E"/>
    <w:rsid w:val="00207CC3"/>
    <w:rsid w:val="002176C5"/>
    <w:rsid w:val="00217D35"/>
    <w:rsid w:val="00223A5B"/>
    <w:rsid w:val="002242A1"/>
    <w:rsid w:val="00224908"/>
    <w:rsid w:val="00226D50"/>
    <w:rsid w:val="002272CB"/>
    <w:rsid w:val="00231E92"/>
    <w:rsid w:val="00232243"/>
    <w:rsid w:val="0023312F"/>
    <w:rsid w:val="00237255"/>
    <w:rsid w:val="00245B1F"/>
    <w:rsid w:val="00251DE2"/>
    <w:rsid w:val="00251E82"/>
    <w:rsid w:val="00252FAF"/>
    <w:rsid w:val="00253D39"/>
    <w:rsid w:val="002569EA"/>
    <w:rsid w:val="002614C1"/>
    <w:rsid w:val="00261A05"/>
    <w:rsid w:val="00262020"/>
    <w:rsid w:val="00265BC9"/>
    <w:rsid w:val="002670FE"/>
    <w:rsid w:val="00267EB4"/>
    <w:rsid w:val="00273E62"/>
    <w:rsid w:val="00277E58"/>
    <w:rsid w:val="002816C6"/>
    <w:rsid w:val="00281D8F"/>
    <w:rsid w:val="002820F1"/>
    <w:rsid w:val="00284A28"/>
    <w:rsid w:val="00285656"/>
    <w:rsid w:val="002871E8"/>
    <w:rsid w:val="00291C79"/>
    <w:rsid w:val="0029480C"/>
    <w:rsid w:val="00295AFF"/>
    <w:rsid w:val="00297712"/>
    <w:rsid w:val="002A05DB"/>
    <w:rsid w:val="002A1FA0"/>
    <w:rsid w:val="002A49A3"/>
    <w:rsid w:val="002A5D22"/>
    <w:rsid w:val="002A66ED"/>
    <w:rsid w:val="002B3644"/>
    <w:rsid w:val="002C236E"/>
    <w:rsid w:val="002C25CE"/>
    <w:rsid w:val="002C2DA3"/>
    <w:rsid w:val="002C405B"/>
    <w:rsid w:val="002C4200"/>
    <w:rsid w:val="002C49EC"/>
    <w:rsid w:val="002C5F2D"/>
    <w:rsid w:val="002D2F1A"/>
    <w:rsid w:val="002D3C8B"/>
    <w:rsid w:val="002D4158"/>
    <w:rsid w:val="002D584B"/>
    <w:rsid w:val="002E0E16"/>
    <w:rsid w:val="002E1EA4"/>
    <w:rsid w:val="002E6E82"/>
    <w:rsid w:val="002E6F87"/>
    <w:rsid w:val="002E7357"/>
    <w:rsid w:val="002E7860"/>
    <w:rsid w:val="002F21C6"/>
    <w:rsid w:val="002F3718"/>
    <w:rsid w:val="002F4648"/>
    <w:rsid w:val="002F5134"/>
    <w:rsid w:val="002F5C24"/>
    <w:rsid w:val="002F61A9"/>
    <w:rsid w:val="003001AF"/>
    <w:rsid w:val="0030120F"/>
    <w:rsid w:val="00303A3C"/>
    <w:rsid w:val="003044A5"/>
    <w:rsid w:val="003051E6"/>
    <w:rsid w:val="0031043B"/>
    <w:rsid w:val="003118F7"/>
    <w:rsid w:val="00312DB8"/>
    <w:rsid w:val="00312EB0"/>
    <w:rsid w:val="003134C3"/>
    <w:rsid w:val="003142BA"/>
    <w:rsid w:val="00316CE9"/>
    <w:rsid w:val="00316DB4"/>
    <w:rsid w:val="003208B4"/>
    <w:rsid w:val="003223B0"/>
    <w:rsid w:val="00323169"/>
    <w:rsid w:val="00323CA6"/>
    <w:rsid w:val="00324A91"/>
    <w:rsid w:val="00324C15"/>
    <w:rsid w:val="003269F7"/>
    <w:rsid w:val="0033129D"/>
    <w:rsid w:val="00332DBD"/>
    <w:rsid w:val="00333B98"/>
    <w:rsid w:val="00337AE5"/>
    <w:rsid w:val="00341195"/>
    <w:rsid w:val="0034251A"/>
    <w:rsid w:val="00342E6B"/>
    <w:rsid w:val="00344555"/>
    <w:rsid w:val="0034543C"/>
    <w:rsid w:val="003466B0"/>
    <w:rsid w:val="00347FA0"/>
    <w:rsid w:val="0035343B"/>
    <w:rsid w:val="003545A8"/>
    <w:rsid w:val="003552A4"/>
    <w:rsid w:val="00356020"/>
    <w:rsid w:val="003578FF"/>
    <w:rsid w:val="00357C3B"/>
    <w:rsid w:val="00357ECC"/>
    <w:rsid w:val="003622FF"/>
    <w:rsid w:val="00362436"/>
    <w:rsid w:val="00362D77"/>
    <w:rsid w:val="003634C2"/>
    <w:rsid w:val="00366A30"/>
    <w:rsid w:val="00375126"/>
    <w:rsid w:val="00375CC6"/>
    <w:rsid w:val="00376AC1"/>
    <w:rsid w:val="00382F97"/>
    <w:rsid w:val="0038488E"/>
    <w:rsid w:val="00385F45"/>
    <w:rsid w:val="00390136"/>
    <w:rsid w:val="00395F95"/>
    <w:rsid w:val="00396CE9"/>
    <w:rsid w:val="00397518"/>
    <w:rsid w:val="003A2B60"/>
    <w:rsid w:val="003A2C52"/>
    <w:rsid w:val="003A31B2"/>
    <w:rsid w:val="003A3575"/>
    <w:rsid w:val="003A3A61"/>
    <w:rsid w:val="003B00C3"/>
    <w:rsid w:val="003B0F7E"/>
    <w:rsid w:val="003B199A"/>
    <w:rsid w:val="003B1BE8"/>
    <w:rsid w:val="003B2FC4"/>
    <w:rsid w:val="003B472B"/>
    <w:rsid w:val="003B5209"/>
    <w:rsid w:val="003B65FB"/>
    <w:rsid w:val="003B757A"/>
    <w:rsid w:val="003C2BAF"/>
    <w:rsid w:val="003C3188"/>
    <w:rsid w:val="003C640D"/>
    <w:rsid w:val="003C6C41"/>
    <w:rsid w:val="003C7051"/>
    <w:rsid w:val="003D0E64"/>
    <w:rsid w:val="003D7D0B"/>
    <w:rsid w:val="003D7E7F"/>
    <w:rsid w:val="003F1E42"/>
    <w:rsid w:val="003F503B"/>
    <w:rsid w:val="003F6C96"/>
    <w:rsid w:val="003F7185"/>
    <w:rsid w:val="003F7D4B"/>
    <w:rsid w:val="0040061A"/>
    <w:rsid w:val="00402158"/>
    <w:rsid w:val="004074ED"/>
    <w:rsid w:val="00412C49"/>
    <w:rsid w:val="00414443"/>
    <w:rsid w:val="00415FC4"/>
    <w:rsid w:val="00417568"/>
    <w:rsid w:val="00421D0B"/>
    <w:rsid w:val="00422927"/>
    <w:rsid w:val="004229DE"/>
    <w:rsid w:val="004239AE"/>
    <w:rsid w:val="00423E8F"/>
    <w:rsid w:val="004251B6"/>
    <w:rsid w:val="004259B8"/>
    <w:rsid w:val="00425C5D"/>
    <w:rsid w:val="004269DA"/>
    <w:rsid w:val="00432F82"/>
    <w:rsid w:val="00434618"/>
    <w:rsid w:val="00435FF5"/>
    <w:rsid w:val="0043681C"/>
    <w:rsid w:val="00440820"/>
    <w:rsid w:val="004441AD"/>
    <w:rsid w:val="00444DA6"/>
    <w:rsid w:val="004466EA"/>
    <w:rsid w:val="004475A9"/>
    <w:rsid w:val="0044794F"/>
    <w:rsid w:val="00453D77"/>
    <w:rsid w:val="00454965"/>
    <w:rsid w:val="00461612"/>
    <w:rsid w:val="0046178B"/>
    <w:rsid w:val="00462314"/>
    <w:rsid w:val="00462E07"/>
    <w:rsid w:val="00463512"/>
    <w:rsid w:val="0046362C"/>
    <w:rsid w:val="00463BBF"/>
    <w:rsid w:val="00466C2F"/>
    <w:rsid w:val="004701D0"/>
    <w:rsid w:val="00474D75"/>
    <w:rsid w:val="004771EB"/>
    <w:rsid w:val="004814F0"/>
    <w:rsid w:val="00482771"/>
    <w:rsid w:val="00483C58"/>
    <w:rsid w:val="00484222"/>
    <w:rsid w:val="00494345"/>
    <w:rsid w:val="004A0D43"/>
    <w:rsid w:val="004A1818"/>
    <w:rsid w:val="004A4E4F"/>
    <w:rsid w:val="004A56E7"/>
    <w:rsid w:val="004A7750"/>
    <w:rsid w:val="004A7FE6"/>
    <w:rsid w:val="004B0B90"/>
    <w:rsid w:val="004B30FB"/>
    <w:rsid w:val="004B3F80"/>
    <w:rsid w:val="004B40EE"/>
    <w:rsid w:val="004C0A8D"/>
    <w:rsid w:val="004C25F6"/>
    <w:rsid w:val="004D100D"/>
    <w:rsid w:val="004D3901"/>
    <w:rsid w:val="004D3F5D"/>
    <w:rsid w:val="004D67C5"/>
    <w:rsid w:val="004D7E65"/>
    <w:rsid w:val="004E00D0"/>
    <w:rsid w:val="004E07DC"/>
    <w:rsid w:val="004E0851"/>
    <w:rsid w:val="004E0939"/>
    <w:rsid w:val="004E1AE2"/>
    <w:rsid w:val="004E5446"/>
    <w:rsid w:val="004F059F"/>
    <w:rsid w:val="004F55F8"/>
    <w:rsid w:val="004F6ACE"/>
    <w:rsid w:val="004F7447"/>
    <w:rsid w:val="00505141"/>
    <w:rsid w:val="005066A2"/>
    <w:rsid w:val="00506CD9"/>
    <w:rsid w:val="00511EF3"/>
    <w:rsid w:val="00512AE9"/>
    <w:rsid w:val="00513FBF"/>
    <w:rsid w:val="00516576"/>
    <w:rsid w:val="0051750C"/>
    <w:rsid w:val="00522063"/>
    <w:rsid w:val="00522ED0"/>
    <w:rsid w:val="00523C58"/>
    <w:rsid w:val="0052557E"/>
    <w:rsid w:val="00526CC9"/>
    <w:rsid w:val="0052770E"/>
    <w:rsid w:val="005310F8"/>
    <w:rsid w:val="0053163F"/>
    <w:rsid w:val="00534CA7"/>
    <w:rsid w:val="00535BAD"/>
    <w:rsid w:val="00536B3B"/>
    <w:rsid w:val="00537DBB"/>
    <w:rsid w:val="005435C8"/>
    <w:rsid w:val="00543E56"/>
    <w:rsid w:val="00544A5C"/>
    <w:rsid w:val="005470EC"/>
    <w:rsid w:val="00556328"/>
    <w:rsid w:val="00563399"/>
    <w:rsid w:val="00571282"/>
    <w:rsid w:val="00573C3B"/>
    <w:rsid w:val="00574E1B"/>
    <w:rsid w:val="0058722C"/>
    <w:rsid w:val="0058799A"/>
    <w:rsid w:val="00587F62"/>
    <w:rsid w:val="00593B80"/>
    <w:rsid w:val="00596A1C"/>
    <w:rsid w:val="005A06D3"/>
    <w:rsid w:val="005A0AF8"/>
    <w:rsid w:val="005A2B2E"/>
    <w:rsid w:val="005A3E49"/>
    <w:rsid w:val="005A4714"/>
    <w:rsid w:val="005B551F"/>
    <w:rsid w:val="005B5D93"/>
    <w:rsid w:val="005B66C8"/>
    <w:rsid w:val="005C0A9A"/>
    <w:rsid w:val="005C28BC"/>
    <w:rsid w:val="005C4EA4"/>
    <w:rsid w:val="005D0287"/>
    <w:rsid w:val="005D39F3"/>
    <w:rsid w:val="005D7E62"/>
    <w:rsid w:val="005E0596"/>
    <w:rsid w:val="005E13DF"/>
    <w:rsid w:val="005E1D9A"/>
    <w:rsid w:val="005E2983"/>
    <w:rsid w:val="005E3EE4"/>
    <w:rsid w:val="005F03CC"/>
    <w:rsid w:val="005F2063"/>
    <w:rsid w:val="005F2279"/>
    <w:rsid w:val="005F2A5B"/>
    <w:rsid w:val="005F31BE"/>
    <w:rsid w:val="005F36AB"/>
    <w:rsid w:val="005F700B"/>
    <w:rsid w:val="006007C7"/>
    <w:rsid w:val="00600FFC"/>
    <w:rsid w:val="006015A3"/>
    <w:rsid w:val="00602BC6"/>
    <w:rsid w:val="00602EB0"/>
    <w:rsid w:val="00603311"/>
    <w:rsid w:val="00603C6D"/>
    <w:rsid w:val="006079B9"/>
    <w:rsid w:val="00611FDF"/>
    <w:rsid w:val="00613A11"/>
    <w:rsid w:val="00613B72"/>
    <w:rsid w:val="0062291A"/>
    <w:rsid w:val="00622AA8"/>
    <w:rsid w:val="00623B31"/>
    <w:rsid w:val="00623C7E"/>
    <w:rsid w:val="0062575D"/>
    <w:rsid w:val="0063164E"/>
    <w:rsid w:val="006335A2"/>
    <w:rsid w:val="0064166F"/>
    <w:rsid w:val="00643C4C"/>
    <w:rsid w:val="00644764"/>
    <w:rsid w:val="0064549C"/>
    <w:rsid w:val="0064601A"/>
    <w:rsid w:val="00647676"/>
    <w:rsid w:val="00647DB4"/>
    <w:rsid w:val="006502E3"/>
    <w:rsid w:val="00660F48"/>
    <w:rsid w:val="0066619C"/>
    <w:rsid w:val="00670A74"/>
    <w:rsid w:val="006713C0"/>
    <w:rsid w:val="006717CE"/>
    <w:rsid w:val="00674304"/>
    <w:rsid w:val="00674779"/>
    <w:rsid w:val="00676D51"/>
    <w:rsid w:val="00676EAB"/>
    <w:rsid w:val="00680C1A"/>
    <w:rsid w:val="006836A7"/>
    <w:rsid w:val="00683A24"/>
    <w:rsid w:val="006868AD"/>
    <w:rsid w:val="00691D96"/>
    <w:rsid w:val="00692764"/>
    <w:rsid w:val="00692D34"/>
    <w:rsid w:val="00693B96"/>
    <w:rsid w:val="00695F24"/>
    <w:rsid w:val="00696507"/>
    <w:rsid w:val="0069776E"/>
    <w:rsid w:val="006A507F"/>
    <w:rsid w:val="006A53AA"/>
    <w:rsid w:val="006A7193"/>
    <w:rsid w:val="006B08B4"/>
    <w:rsid w:val="006B12C5"/>
    <w:rsid w:val="006B2978"/>
    <w:rsid w:val="006B6367"/>
    <w:rsid w:val="006C034B"/>
    <w:rsid w:val="006C2AB7"/>
    <w:rsid w:val="006C4184"/>
    <w:rsid w:val="006C6C6F"/>
    <w:rsid w:val="006C74FB"/>
    <w:rsid w:val="006E0C79"/>
    <w:rsid w:val="006E3384"/>
    <w:rsid w:val="006E4051"/>
    <w:rsid w:val="006E480B"/>
    <w:rsid w:val="006E5E68"/>
    <w:rsid w:val="006F0B18"/>
    <w:rsid w:val="006F1A82"/>
    <w:rsid w:val="006F2049"/>
    <w:rsid w:val="006F278A"/>
    <w:rsid w:val="006F33D4"/>
    <w:rsid w:val="006F3ECA"/>
    <w:rsid w:val="006F7FE6"/>
    <w:rsid w:val="00701A0C"/>
    <w:rsid w:val="0070556E"/>
    <w:rsid w:val="007067F4"/>
    <w:rsid w:val="0070704B"/>
    <w:rsid w:val="007103A2"/>
    <w:rsid w:val="00712041"/>
    <w:rsid w:val="007169B6"/>
    <w:rsid w:val="00724574"/>
    <w:rsid w:val="00725236"/>
    <w:rsid w:val="0072768C"/>
    <w:rsid w:val="007343EE"/>
    <w:rsid w:val="007357A6"/>
    <w:rsid w:val="0074346F"/>
    <w:rsid w:val="00745E22"/>
    <w:rsid w:val="0074648A"/>
    <w:rsid w:val="00747A9B"/>
    <w:rsid w:val="0075074A"/>
    <w:rsid w:val="007522D9"/>
    <w:rsid w:val="00752330"/>
    <w:rsid w:val="00753469"/>
    <w:rsid w:val="0075405B"/>
    <w:rsid w:val="0075696F"/>
    <w:rsid w:val="007633AA"/>
    <w:rsid w:val="007652AE"/>
    <w:rsid w:val="00767D6E"/>
    <w:rsid w:val="00770580"/>
    <w:rsid w:val="00770D1C"/>
    <w:rsid w:val="007750EF"/>
    <w:rsid w:val="007806C4"/>
    <w:rsid w:val="00781ECE"/>
    <w:rsid w:val="00783C9A"/>
    <w:rsid w:val="00783CDF"/>
    <w:rsid w:val="007906E2"/>
    <w:rsid w:val="00790FFD"/>
    <w:rsid w:val="007956C2"/>
    <w:rsid w:val="00797B31"/>
    <w:rsid w:val="007A311A"/>
    <w:rsid w:val="007A35F3"/>
    <w:rsid w:val="007A36DD"/>
    <w:rsid w:val="007A69DC"/>
    <w:rsid w:val="007B19BC"/>
    <w:rsid w:val="007B51E3"/>
    <w:rsid w:val="007B6D85"/>
    <w:rsid w:val="007B7BF7"/>
    <w:rsid w:val="007C31F8"/>
    <w:rsid w:val="007C3C2B"/>
    <w:rsid w:val="007C3C78"/>
    <w:rsid w:val="007C3F82"/>
    <w:rsid w:val="007C5E78"/>
    <w:rsid w:val="007C602D"/>
    <w:rsid w:val="007D02A6"/>
    <w:rsid w:val="007D0625"/>
    <w:rsid w:val="007D3176"/>
    <w:rsid w:val="007D3E0C"/>
    <w:rsid w:val="007D5551"/>
    <w:rsid w:val="007D5CAE"/>
    <w:rsid w:val="007D745B"/>
    <w:rsid w:val="007E0498"/>
    <w:rsid w:val="007E10C4"/>
    <w:rsid w:val="007E13CA"/>
    <w:rsid w:val="007E182F"/>
    <w:rsid w:val="007E1D25"/>
    <w:rsid w:val="007E276E"/>
    <w:rsid w:val="007E5E9A"/>
    <w:rsid w:val="007E6A0D"/>
    <w:rsid w:val="007F1E8F"/>
    <w:rsid w:val="007F4136"/>
    <w:rsid w:val="007F4F91"/>
    <w:rsid w:val="007F50E5"/>
    <w:rsid w:val="00801F91"/>
    <w:rsid w:val="00807D3E"/>
    <w:rsid w:val="00814196"/>
    <w:rsid w:val="00815549"/>
    <w:rsid w:val="008161FE"/>
    <w:rsid w:val="00816C3F"/>
    <w:rsid w:val="00817438"/>
    <w:rsid w:val="00820F9B"/>
    <w:rsid w:val="00821B78"/>
    <w:rsid w:val="00822C11"/>
    <w:rsid w:val="00825F84"/>
    <w:rsid w:val="0082670B"/>
    <w:rsid w:val="00826C7D"/>
    <w:rsid w:val="00826E1D"/>
    <w:rsid w:val="008275B7"/>
    <w:rsid w:val="00830339"/>
    <w:rsid w:val="008322F7"/>
    <w:rsid w:val="008332DD"/>
    <w:rsid w:val="00833B68"/>
    <w:rsid w:val="00833EB5"/>
    <w:rsid w:val="00835E44"/>
    <w:rsid w:val="00842957"/>
    <w:rsid w:val="0084320B"/>
    <w:rsid w:val="008432FC"/>
    <w:rsid w:val="008446FE"/>
    <w:rsid w:val="00856509"/>
    <w:rsid w:val="00860D72"/>
    <w:rsid w:val="00860E25"/>
    <w:rsid w:val="00860E50"/>
    <w:rsid w:val="00862B92"/>
    <w:rsid w:val="00864323"/>
    <w:rsid w:val="008646F5"/>
    <w:rsid w:val="008651A8"/>
    <w:rsid w:val="00870A39"/>
    <w:rsid w:val="0088522E"/>
    <w:rsid w:val="00885634"/>
    <w:rsid w:val="00885D0C"/>
    <w:rsid w:val="0089029A"/>
    <w:rsid w:val="00892423"/>
    <w:rsid w:val="008937F7"/>
    <w:rsid w:val="00893BD5"/>
    <w:rsid w:val="00893EE3"/>
    <w:rsid w:val="008A0F64"/>
    <w:rsid w:val="008A25ED"/>
    <w:rsid w:val="008A34AA"/>
    <w:rsid w:val="008A38AB"/>
    <w:rsid w:val="008A74B0"/>
    <w:rsid w:val="008B0C8D"/>
    <w:rsid w:val="008B1D17"/>
    <w:rsid w:val="008B20AA"/>
    <w:rsid w:val="008B372B"/>
    <w:rsid w:val="008B39CE"/>
    <w:rsid w:val="008C0DBE"/>
    <w:rsid w:val="008C17F4"/>
    <w:rsid w:val="008C1D9F"/>
    <w:rsid w:val="008C2C95"/>
    <w:rsid w:val="008C2D77"/>
    <w:rsid w:val="008C6252"/>
    <w:rsid w:val="008C6E50"/>
    <w:rsid w:val="008D3976"/>
    <w:rsid w:val="008E252E"/>
    <w:rsid w:val="008E31DD"/>
    <w:rsid w:val="008E339A"/>
    <w:rsid w:val="008E63CB"/>
    <w:rsid w:val="008F4166"/>
    <w:rsid w:val="008F6889"/>
    <w:rsid w:val="009014BB"/>
    <w:rsid w:val="00901532"/>
    <w:rsid w:val="00903097"/>
    <w:rsid w:val="00905111"/>
    <w:rsid w:val="00906149"/>
    <w:rsid w:val="00906F88"/>
    <w:rsid w:val="00910940"/>
    <w:rsid w:val="009125B5"/>
    <w:rsid w:val="00914DE2"/>
    <w:rsid w:val="009158BC"/>
    <w:rsid w:val="00916619"/>
    <w:rsid w:val="00917893"/>
    <w:rsid w:val="00922C21"/>
    <w:rsid w:val="00923AE7"/>
    <w:rsid w:val="00924D1B"/>
    <w:rsid w:val="0092546B"/>
    <w:rsid w:val="00934BE6"/>
    <w:rsid w:val="00935355"/>
    <w:rsid w:val="00936426"/>
    <w:rsid w:val="00937243"/>
    <w:rsid w:val="00947DB1"/>
    <w:rsid w:val="00952B02"/>
    <w:rsid w:val="00953ED7"/>
    <w:rsid w:val="00964F65"/>
    <w:rsid w:val="00965891"/>
    <w:rsid w:val="00966E7C"/>
    <w:rsid w:val="00970E4E"/>
    <w:rsid w:val="00971D26"/>
    <w:rsid w:val="00973503"/>
    <w:rsid w:val="0097445D"/>
    <w:rsid w:val="0097770C"/>
    <w:rsid w:val="009805A1"/>
    <w:rsid w:val="00985758"/>
    <w:rsid w:val="00985C16"/>
    <w:rsid w:val="00985C5E"/>
    <w:rsid w:val="00987648"/>
    <w:rsid w:val="00990455"/>
    <w:rsid w:val="00995F40"/>
    <w:rsid w:val="009A1DF2"/>
    <w:rsid w:val="009A6149"/>
    <w:rsid w:val="009A67E1"/>
    <w:rsid w:val="009B1351"/>
    <w:rsid w:val="009B2429"/>
    <w:rsid w:val="009B2569"/>
    <w:rsid w:val="009B3130"/>
    <w:rsid w:val="009B33E7"/>
    <w:rsid w:val="009B43D6"/>
    <w:rsid w:val="009B51E4"/>
    <w:rsid w:val="009B5AF5"/>
    <w:rsid w:val="009B7C8B"/>
    <w:rsid w:val="009C1700"/>
    <w:rsid w:val="009C3D1C"/>
    <w:rsid w:val="009C5B58"/>
    <w:rsid w:val="009D1323"/>
    <w:rsid w:val="009D24A5"/>
    <w:rsid w:val="009D30C5"/>
    <w:rsid w:val="009D3B55"/>
    <w:rsid w:val="009D42E8"/>
    <w:rsid w:val="009D54DD"/>
    <w:rsid w:val="009D7D1D"/>
    <w:rsid w:val="009E001E"/>
    <w:rsid w:val="009E04AB"/>
    <w:rsid w:val="009E2A57"/>
    <w:rsid w:val="009F0111"/>
    <w:rsid w:val="009F3AF4"/>
    <w:rsid w:val="009F44C0"/>
    <w:rsid w:val="009F4848"/>
    <w:rsid w:val="009F48FB"/>
    <w:rsid w:val="009F6003"/>
    <w:rsid w:val="00A005E9"/>
    <w:rsid w:val="00A007F2"/>
    <w:rsid w:val="00A0089E"/>
    <w:rsid w:val="00A0243A"/>
    <w:rsid w:val="00A05AB1"/>
    <w:rsid w:val="00A05DEF"/>
    <w:rsid w:val="00A06C55"/>
    <w:rsid w:val="00A0768E"/>
    <w:rsid w:val="00A11474"/>
    <w:rsid w:val="00A127F7"/>
    <w:rsid w:val="00A15634"/>
    <w:rsid w:val="00A158E0"/>
    <w:rsid w:val="00A15C76"/>
    <w:rsid w:val="00A17B41"/>
    <w:rsid w:val="00A208D0"/>
    <w:rsid w:val="00A21872"/>
    <w:rsid w:val="00A22568"/>
    <w:rsid w:val="00A24179"/>
    <w:rsid w:val="00A24957"/>
    <w:rsid w:val="00A26C29"/>
    <w:rsid w:val="00A302B8"/>
    <w:rsid w:val="00A31CEE"/>
    <w:rsid w:val="00A35FDD"/>
    <w:rsid w:val="00A42300"/>
    <w:rsid w:val="00A43507"/>
    <w:rsid w:val="00A44366"/>
    <w:rsid w:val="00A52995"/>
    <w:rsid w:val="00A5424F"/>
    <w:rsid w:val="00A56C6E"/>
    <w:rsid w:val="00A60D5C"/>
    <w:rsid w:val="00A61240"/>
    <w:rsid w:val="00A61A84"/>
    <w:rsid w:val="00A646B7"/>
    <w:rsid w:val="00A648F9"/>
    <w:rsid w:val="00A656AC"/>
    <w:rsid w:val="00A662DE"/>
    <w:rsid w:val="00A67A86"/>
    <w:rsid w:val="00A67D34"/>
    <w:rsid w:val="00A71B18"/>
    <w:rsid w:val="00A722FD"/>
    <w:rsid w:val="00A7254E"/>
    <w:rsid w:val="00A737F4"/>
    <w:rsid w:val="00A73A04"/>
    <w:rsid w:val="00A73F6B"/>
    <w:rsid w:val="00A759A9"/>
    <w:rsid w:val="00A75A46"/>
    <w:rsid w:val="00A81D43"/>
    <w:rsid w:val="00A82A89"/>
    <w:rsid w:val="00A84CEC"/>
    <w:rsid w:val="00A84F85"/>
    <w:rsid w:val="00A85028"/>
    <w:rsid w:val="00A86049"/>
    <w:rsid w:val="00A868E2"/>
    <w:rsid w:val="00A946B4"/>
    <w:rsid w:val="00A94A4A"/>
    <w:rsid w:val="00A95141"/>
    <w:rsid w:val="00A9533A"/>
    <w:rsid w:val="00A95966"/>
    <w:rsid w:val="00A9596F"/>
    <w:rsid w:val="00A95AFE"/>
    <w:rsid w:val="00AA07CE"/>
    <w:rsid w:val="00AA2CBB"/>
    <w:rsid w:val="00AB039C"/>
    <w:rsid w:val="00AB1830"/>
    <w:rsid w:val="00AB3495"/>
    <w:rsid w:val="00AB621E"/>
    <w:rsid w:val="00AC042A"/>
    <w:rsid w:val="00AC1F06"/>
    <w:rsid w:val="00AC35DA"/>
    <w:rsid w:val="00AC5A27"/>
    <w:rsid w:val="00AC6123"/>
    <w:rsid w:val="00AC7898"/>
    <w:rsid w:val="00AD17F9"/>
    <w:rsid w:val="00AD261F"/>
    <w:rsid w:val="00AD3B9A"/>
    <w:rsid w:val="00AD6CCB"/>
    <w:rsid w:val="00AE3819"/>
    <w:rsid w:val="00AF0A2F"/>
    <w:rsid w:val="00AF2D7A"/>
    <w:rsid w:val="00AF34E9"/>
    <w:rsid w:val="00AF418F"/>
    <w:rsid w:val="00AF501D"/>
    <w:rsid w:val="00AF5731"/>
    <w:rsid w:val="00B01D63"/>
    <w:rsid w:val="00B0213C"/>
    <w:rsid w:val="00B03004"/>
    <w:rsid w:val="00B14F53"/>
    <w:rsid w:val="00B15554"/>
    <w:rsid w:val="00B15E16"/>
    <w:rsid w:val="00B169C6"/>
    <w:rsid w:val="00B16F1E"/>
    <w:rsid w:val="00B17F4D"/>
    <w:rsid w:val="00B20A56"/>
    <w:rsid w:val="00B20E32"/>
    <w:rsid w:val="00B22E31"/>
    <w:rsid w:val="00B25C94"/>
    <w:rsid w:val="00B260EF"/>
    <w:rsid w:val="00B33409"/>
    <w:rsid w:val="00B35D10"/>
    <w:rsid w:val="00B377EE"/>
    <w:rsid w:val="00B41700"/>
    <w:rsid w:val="00B503A1"/>
    <w:rsid w:val="00B546A7"/>
    <w:rsid w:val="00B63DCD"/>
    <w:rsid w:val="00B64FED"/>
    <w:rsid w:val="00B66C47"/>
    <w:rsid w:val="00B678AE"/>
    <w:rsid w:val="00B734A4"/>
    <w:rsid w:val="00B7373D"/>
    <w:rsid w:val="00B7481B"/>
    <w:rsid w:val="00B7575B"/>
    <w:rsid w:val="00B75E88"/>
    <w:rsid w:val="00B76583"/>
    <w:rsid w:val="00B818D8"/>
    <w:rsid w:val="00B8309A"/>
    <w:rsid w:val="00B8531E"/>
    <w:rsid w:val="00B85CE5"/>
    <w:rsid w:val="00B90BA8"/>
    <w:rsid w:val="00B92E98"/>
    <w:rsid w:val="00B95352"/>
    <w:rsid w:val="00B95B43"/>
    <w:rsid w:val="00B96EF2"/>
    <w:rsid w:val="00BA025C"/>
    <w:rsid w:val="00BA05C3"/>
    <w:rsid w:val="00BA3190"/>
    <w:rsid w:val="00BA5D76"/>
    <w:rsid w:val="00BA7AE8"/>
    <w:rsid w:val="00BB0F72"/>
    <w:rsid w:val="00BB1893"/>
    <w:rsid w:val="00BB7F10"/>
    <w:rsid w:val="00BC30A4"/>
    <w:rsid w:val="00BD0A78"/>
    <w:rsid w:val="00BD317C"/>
    <w:rsid w:val="00BD4012"/>
    <w:rsid w:val="00BD4C7C"/>
    <w:rsid w:val="00BD56EA"/>
    <w:rsid w:val="00BD571A"/>
    <w:rsid w:val="00BD63F8"/>
    <w:rsid w:val="00BD6CAF"/>
    <w:rsid w:val="00BE153E"/>
    <w:rsid w:val="00BE15F2"/>
    <w:rsid w:val="00BE505A"/>
    <w:rsid w:val="00BF1AF8"/>
    <w:rsid w:val="00BF1B17"/>
    <w:rsid w:val="00BF236B"/>
    <w:rsid w:val="00BF2EC3"/>
    <w:rsid w:val="00BF3950"/>
    <w:rsid w:val="00BF446B"/>
    <w:rsid w:val="00BF4FCC"/>
    <w:rsid w:val="00BF79CD"/>
    <w:rsid w:val="00C01643"/>
    <w:rsid w:val="00C05A89"/>
    <w:rsid w:val="00C144C8"/>
    <w:rsid w:val="00C15A9A"/>
    <w:rsid w:val="00C16CFB"/>
    <w:rsid w:val="00C22309"/>
    <w:rsid w:val="00C2241D"/>
    <w:rsid w:val="00C2696C"/>
    <w:rsid w:val="00C34369"/>
    <w:rsid w:val="00C37220"/>
    <w:rsid w:val="00C378F1"/>
    <w:rsid w:val="00C37AB3"/>
    <w:rsid w:val="00C41CA4"/>
    <w:rsid w:val="00C43F2E"/>
    <w:rsid w:val="00C45FC0"/>
    <w:rsid w:val="00C466DC"/>
    <w:rsid w:val="00C51DE5"/>
    <w:rsid w:val="00C523A6"/>
    <w:rsid w:val="00C54FB9"/>
    <w:rsid w:val="00C57553"/>
    <w:rsid w:val="00C602D7"/>
    <w:rsid w:val="00C61305"/>
    <w:rsid w:val="00C614D4"/>
    <w:rsid w:val="00C62404"/>
    <w:rsid w:val="00C64881"/>
    <w:rsid w:val="00C656AE"/>
    <w:rsid w:val="00C66780"/>
    <w:rsid w:val="00C6711A"/>
    <w:rsid w:val="00C674EC"/>
    <w:rsid w:val="00C7136A"/>
    <w:rsid w:val="00C71602"/>
    <w:rsid w:val="00C71A7C"/>
    <w:rsid w:val="00C72130"/>
    <w:rsid w:val="00C72CEF"/>
    <w:rsid w:val="00C74078"/>
    <w:rsid w:val="00C7614F"/>
    <w:rsid w:val="00C76273"/>
    <w:rsid w:val="00C76560"/>
    <w:rsid w:val="00C76DE9"/>
    <w:rsid w:val="00C82CE3"/>
    <w:rsid w:val="00C86DB6"/>
    <w:rsid w:val="00C86E29"/>
    <w:rsid w:val="00C87E34"/>
    <w:rsid w:val="00C9025C"/>
    <w:rsid w:val="00C91E59"/>
    <w:rsid w:val="00C94C99"/>
    <w:rsid w:val="00C97E2D"/>
    <w:rsid w:val="00CA1407"/>
    <w:rsid w:val="00CA18D6"/>
    <w:rsid w:val="00CA325A"/>
    <w:rsid w:val="00CA6DDE"/>
    <w:rsid w:val="00CA7888"/>
    <w:rsid w:val="00CB0B83"/>
    <w:rsid w:val="00CB1C91"/>
    <w:rsid w:val="00CB4CD5"/>
    <w:rsid w:val="00CB6117"/>
    <w:rsid w:val="00CB630B"/>
    <w:rsid w:val="00CB6878"/>
    <w:rsid w:val="00CC26C6"/>
    <w:rsid w:val="00CC41EB"/>
    <w:rsid w:val="00CC6F25"/>
    <w:rsid w:val="00CC706E"/>
    <w:rsid w:val="00CD11E2"/>
    <w:rsid w:val="00CD3014"/>
    <w:rsid w:val="00CD3056"/>
    <w:rsid w:val="00CD7FBD"/>
    <w:rsid w:val="00CE14FE"/>
    <w:rsid w:val="00CE2137"/>
    <w:rsid w:val="00CE24B5"/>
    <w:rsid w:val="00CE3AF5"/>
    <w:rsid w:val="00CE4C78"/>
    <w:rsid w:val="00CE70EB"/>
    <w:rsid w:val="00CF0733"/>
    <w:rsid w:val="00CF5055"/>
    <w:rsid w:val="00CF715C"/>
    <w:rsid w:val="00CF7322"/>
    <w:rsid w:val="00D0010E"/>
    <w:rsid w:val="00D00687"/>
    <w:rsid w:val="00D00F45"/>
    <w:rsid w:val="00D00FC4"/>
    <w:rsid w:val="00D04A8E"/>
    <w:rsid w:val="00D0799D"/>
    <w:rsid w:val="00D1089B"/>
    <w:rsid w:val="00D126AA"/>
    <w:rsid w:val="00D13D16"/>
    <w:rsid w:val="00D15819"/>
    <w:rsid w:val="00D26305"/>
    <w:rsid w:val="00D312D4"/>
    <w:rsid w:val="00D33A36"/>
    <w:rsid w:val="00D35178"/>
    <w:rsid w:val="00D402FC"/>
    <w:rsid w:val="00D406B0"/>
    <w:rsid w:val="00D41B9B"/>
    <w:rsid w:val="00D4227C"/>
    <w:rsid w:val="00D42C68"/>
    <w:rsid w:val="00D43E2F"/>
    <w:rsid w:val="00D513DF"/>
    <w:rsid w:val="00D5298B"/>
    <w:rsid w:val="00D535DB"/>
    <w:rsid w:val="00D55853"/>
    <w:rsid w:val="00D56E97"/>
    <w:rsid w:val="00D570F9"/>
    <w:rsid w:val="00D5795D"/>
    <w:rsid w:val="00D63675"/>
    <w:rsid w:val="00D65B9A"/>
    <w:rsid w:val="00D66E64"/>
    <w:rsid w:val="00D67447"/>
    <w:rsid w:val="00D674E0"/>
    <w:rsid w:val="00D67D51"/>
    <w:rsid w:val="00D70B42"/>
    <w:rsid w:val="00D7243C"/>
    <w:rsid w:val="00D766AB"/>
    <w:rsid w:val="00D7792C"/>
    <w:rsid w:val="00D80341"/>
    <w:rsid w:val="00D8088A"/>
    <w:rsid w:val="00D830C4"/>
    <w:rsid w:val="00D837A8"/>
    <w:rsid w:val="00D84C4A"/>
    <w:rsid w:val="00D91A6A"/>
    <w:rsid w:val="00D93383"/>
    <w:rsid w:val="00D9393A"/>
    <w:rsid w:val="00D9715E"/>
    <w:rsid w:val="00D97A66"/>
    <w:rsid w:val="00DA32F2"/>
    <w:rsid w:val="00DA726A"/>
    <w:rsid w:val="00DA764E"/>
    <w:rsid w:val="00DB00CB"/>
    <w:rsid w:val="00DB1E70"/>
    <w:rsid w:val="00DB3357"/>
    <w:rsid w:val="00DC0405"/>
    <w:rsid w:val="00DC091F"/>
    <w:rsid w:val="00DC1D93"/>
    <w:rsid w:val="00DC549D"/>
    <w:rsid w:val="00DC56E7"/>
    <w:rsid w:val="00DD0735"/>
    <w:rsid w:val="00DD2B14"/>
    <w:rsid w:val="00DD473D"/>
    <w:rsid w:val="00DD531F"/>
    <w:rsid w:val="00DD6811"/>
    <w:rsid w:val="00DD7BD2"/>
    <w:rsid w:val="00DE24A1"/>
    <w:rsid w:val="00DE4389"/>
    <w:rsid w:val="00DF296A"/>
    <w:rsid w:val="00DF3B71"/>
    <w:rsid w:val="00DF4B59"/>
    <w:rsid w:val="00DF5714"/>
    <w:rsid w:val="00DF681E"/>
    <w:rsid w:val="00E00A15"/>
    <w:rsid w:val="00E00A2B"/>
    <w:rsid w:val="00E00D87"/>
    <w:rsid w:val="00E027F3"/>
    <w:rsid w:val="00E0294F"/>
    <w:rsid w:val="00E032DD"/>
    <w:rsid w:val="00E03533"/>
    <w:rsid w:val="00E0362D"/>
    <w:rsid w:val="00E036AA"/>
    <w:rsid w:val="00E05674"/>
    <w:rsid w:val="00E10712"/>
    <w:rsid w:val="00E13763"/>
    <w:rsid w:val="00E23E58"/>
    <w:rsid w:val="00E24026"/>
    <w:rsid w:val="00E33043"/>
    <w:rsid w:val="00E47905"/>
    <w:rsid w:val="00E5304A"/>
    <w:rsid w:val="00E5462B"/>
    <w:rsid w:val="00E55275"/>
    <w:rsid w:val="00E567CB"/>
    <w:rsid w:val="00E57110"/>
    <w:rsid w:val="00E60FC8"/>
    <w:rsid w:val="00E6437E"/>
    <w:rsid w:val="00E651A3"/>
    <w:rsid w:val="00E651DE"/>
    <w:rsid w:val="00E666C1"/>
    <w:rsid w:val="00E702BA"/>
    <w:rsid w:val="00E70A5E"/>
    <w:rsid w:val="00E72307"/>
    <w:rsid w:val="00E72EB0"/>
    <w:rsid w:val="00E74B0A"/>
    <w:rsid w:val="00E76174"/>
    <w:rsid w:val="00E7627C"/>
    <w:rsid w:val="00E764C2"/>
    <w:rsid w:val="00E817A2"/>
    <w:rsid w:val="00E82B03"/>
    <w:rsid w:val="00E84728"/>
    <w:rsid w:val="00E84CB8"/>
    <w:rsid w:val="00E84EE0"/>
    <w:rsid w:val="00E8610D"/>
    <w:rsid w:val="00E90C78"/>
    <w:rsid w:val="00E9147A"/>
    <w:rsid w:val="00E91E27"/>
    <w:rsid w:val="00E9281F"/>
    <w:rsid w:val="00E9440E"/>
    <w:rsid w:val="00E94945"/>
    <w:rsid w:val="00E95868"/>
    <w:rsid w:val="00E96583"/>
    <w:rsid w:val="00E974A7"/>
    <w:rsid w:val="00E97567"/>
    <w:rsid w:val="00EA33CB"/>
    <w:rsid w:val="00EA5EA9"/>
    <w:rsid w:val="00EA6751"/>
    <w:rsid w:val="00EB4482"/>
    <w:rsid w:val="00EB49A5"/>
    <w:rsid w:val="00EB5496"/>
    <w:rsid w:val="00EB5C55"/>
    <w:rsid w:val="00EB5E9B"/>
    <w:rsid w:val="00EB7160"/>
    <w:rsid w:val="00EB7CE3"/>
    <w:rsid w:val="00EC248D"/>
    <w:rsid w:val="00EC309A"/>
    <w:rsid w:val="00EC4125"/>
    <w:rsid w:val="00EC4648"/>
    <w:rsid w:val="00EC7A05"/>
    <w:rsid w:val="00ED17DF"/>
    <w:rsid w:val="00ED2B78"/>
    <w:rsid w:val="00ED645C"/>
    <w:rsid w:val="00ED64F0"/>
    <w:rsid w:val="00ED678E"/>
    <w:rsid w:val="00ED72CE"/>
    <w:rsid w:val="00ED7A5F"/>
    <w:rsid w:val="00EE22FB"/>
    <w:rsid w:val="00EE435F"/>
    <w:rsid w:val="00EE777A"/>
    <w:rsid w:val="00EF1239"/>
    <w:rsid w:val="00EF1FB2"/>
    <w:rsid w:val="00EF5035"/>
    <w:rsid w:val="00F00700"/>
    <w:rsid w:val="00F018CE"/>
    <w:rsid w:val="00F03E8D"/>
    <w:rsid w:val="00F049A0"/>
    <w:rsid w:val="00F0528A"/>
    <w:rsid w:val="00F062AF"/>
    <w:rsid w:val="00F06960"/>
    <w:rsid w:val="00F101F2"/>
    <w:rsid w:val="00F104FE"/>
    <w:rsid w:val="00F12CB3"/>
    <w:rsid w:val="00F12FF6"/>
    <w:rsid w:val="00F312EE"/>
    <w:rsid w:val="00F34491"/>
    <w:rsid w:val="00F37B3A"/>
    <w:rsid w:val="00F437F0"/>
    <w:rsid w:val="00F5252A"/>
    <w:rsid w:val="00F527AA"/>
    <w:rsid w:val="00F55025"/>
    <w:rsid w:val="00F56F34"/>
    <w:rsid w:val="00F57028"/>
    <w:rsid w:val="00F5769D"/>
    <w:rsid w:val="00F632BB"/>
    <w:rsid w:val="00F65107"/>
    <w:rsid w:val="00F651A0"/>
    <w:rsid w:val="00F6557A"/>
    <w:rsid w:val="00F6592D"/>
    <w:rsid w:val="00F742C9"/>
    <w:rsid w:val="00F75BFF"/>
    <w:rsid w:val="00F83188"/>
    <w:rsid w:val="00F837BB"/>
    <w:rsid w:val="00F83E3C"/>
    <w:rsid w:val="00F853BF"/>
    <w:rsid w:val="00F86020"/>
    <w:rsid w:val="00F93DEC"/>
    <w:rsid w:val="00F97DA6"/>
    <w:rsid w:val="00FA01C6"/>
    <w:rsid w:val="00FA1735"/>
    <w:rsid w:val="00FA6BA4"/>
    <w:rsid w:val="00FA79B3"/>
    <w:rsid w:val="00FB4B87"/>
    <w:rsid w:val="00FC0700"/>
    <w:rsid w:val="00FC0B9A"/>
    <w:rsid w:val="00FC2F6E"/>
    <w:rsid w:val="00FC2FA5"/>
    <w:rsid w:val="00FC36DC"/>
    <w:rsid w:val="00FC4DB4"/>
    <w:rsid w:val="00FC611D"/>
    <w:rsid w:val="00FC7EAB"/>
    <w:rsid w:val="00FD02FB"/>
    <w:rsid w:val="00FD213A"/>
    <w:rsid w:val="00FD37B4"/>
    <w:rsid w:val="00FD3AB3"/>
    <w:rsid w:val="00FD5F80"/>
    <w:rsid w:val="00FD6745"/>
    <w:rsid w:val="00FE0BEA"/>
    <w:rsid w:val="00FE1C93"/>
    <w:rsid w:val="00FF5608"/>
    <w:rsid w:val="00FF5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3D1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C3D1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basedOn w:val="DefaultParagraphFont"/>
    <w:link w:val="FootnoteText"/>
    <w:uiPriority w:val="99"/>
    <w:semiHidden/>
    <w:locked/>
    <w:rsid w:val="00522063"/>
    <w:rPr>
      <w:lang w:val="tr-TR" w:eastAsia="tr-TR"/>
    </w:rPr>
  </w:style>
  <w:style w:type="character" w:styleId="FootnoteReference">
    <w:name w:val="footnote reference"/>
    <w:basedOn w:val="DefaultParagraphFont"/>
    <w:uiPriority w:val="99"/>
    <w:semiHidden/>
    <w:rsid w:val="00D0799D"/>
    <w:rPr>
      <w:vertAlign w:val="superscript"/>
    </w:rPr>
  </w:style>
  <w:style w:type="character" w:styleId="Hyperlink">
    <w:name w:val="Hyperlink"/>
    <w:basedOn w:val="DefaultParagraphFont"/>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basedOn w:val="DefaultParagraphFont"/>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basedOn w:val="DefaultParagraphFont"/>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webSettings.xml><?xml version="1.0" encoding="utf-8"?>
<w:webSettings xmlns:r="http://schemas.openxmlformats.org/officeDocument/2006/relationships" xmlns:w="http://schemas.openxmlformats.org/wordprocessingml/2006/main">
  <w:divs>
    <w:div w:id="695037631">
      <w:marLeft w:val="0"/>
      <w:marRight w:val="0"/>
      <w:marTop w:val="0"/>
      <w:marBottom w:val="0"/>
      <w:divBdr>
        <w:top w:val="none" w:sz="0" w:space="0" w:color="auto"/>
        <w:left w:val="none" w:sz="0" w:space="0" w:color="auto"/>
        <w:bottom w:val="none" w:sz="0" w:space="0" w:color="auto"/>
        <w:right w:val="none" w:sz="0" w:space="0" w:color="auto"/>
      </w:divBdr>
    </w:div>
    <w:div w:id="695037632">
      <w:marLeft w:val="0"/>
      <w:marRight w:val="0"/>
      <w:marTop w:val="0"/>
      <w:marBottom w:val="0"/>
      <w:divBdr>
        <w:top w:val="none" w:sz="0" w:space="0" w:color="auto"/>
        <w:left w:val="none" w:sz="0" w:space="0" w:color="auto"/>
        <w:bottom w:val="none" w:sz="0" w:space="0" w:color="auto"/>
        <w:right w:val="none" w:sz="0" w:space="0" w:color="auto"/>
      </w:divBdr>
    </w:div>
    <w:div w:id="695037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mailto:baris.soybilgen@bahcesehir.edu.tr" TargetMode="External"/><Relationship Id="rId4" Type="http://schemas.openxmlformats.org/officeDocument/2006/relationships/webSettings" Target="webSettings.xml"/><Relationship Id="rId9" Type="http://schemas.openxmlformats.org/officeDocument/2006/relationships/hyperlink" Target="mailto:zumrut.imamoglu@bahcesehir.edu.tr"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1505</Words>
  <Characters>8580</Characters>
  <Application>Microsoft Office Word</Application>
  <DocSecurity>0</DocSecurity>
  <Lines>71</Lines>
  <Paragraphs>20</Paragraphs>
  <ScaleCrop>false</ScaleCrop>
  <Company>unv</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subject/>
  <dc:creator>baris.soybilgen</dc:creator>
  <cp:keywords/>
  <dc:description/>
  <cp:lastModifiedBy>baris.soybilgen</cp:lastModifiedBy>
  <cp:revision>2</cp:revision>
  <cp:lastPrinted>2013-06-13T11:31:00Z</cp:lastPrinted>
  <dcterms:created xsi:type="dcterms:W3CDTF">2013-06-14T06:41:00Z</dcterms:created>
  <dcterms:modified xsi:type="dcterms:W3CDTF">2013-06-14T06:41:00Z</dcterms:modified>
</cp:coreProperties>
</file>